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2C92C">
      <w:pPr>
        <w:spacing w:line="480" w:lineRule="auto"/>
        <w:jc w:val="center"/>
        <w:rPr>
          <w:rFonts w:hint="eastAsia" w:ascii="楷体_GB2312" w:hAnsi="楷体_GB2312" w:eastAsia="楷体_GB2312" w:cs="楷体_GB2312"/>
          <w:b/>
          <w:bCs/>
          <w:spacing w:val="0"/>
          <w:kern w:val="2"/>
          <w:sz w:val="44"/>
          <w:szCs w:val="44"/>
          <w:lang w:eastAsia="zh-CN"/>
        </w:rPr>
      </w:pPr>
      <w:r>
        <w:rPr>
          <w:rFonts w:hint="eastAsia" w:ascii="楷体_GB2312" w:hAnsi="楷体_GB2312" w:eastAsia="楷体_GB2312" w:cs="楷体_GB2312"/>
          <w:b/>
          <w:bCs/>
          <w:spacing w:val="0"/>
          <w:kern w:val="2"/>
          <w:sz w:val="44"/>
          <w:szCs w:val="44"/>
          <w:lang w:eastAsia="zh-CN"/>
        </w:rPr>
        <w:t>关于代销苏银理财恒源封闭纯债384期</w:t>
      </w:r>
      <w:r>
        <w:rPr>
          <w:rFonts w:hint="eastAsia" w:ascii="楷体_GB2312" w:hAnsi="楷体_GB2312" w:eastAsia="楷体_GB2312" w:cs="楷体_GB2312"/>
          <w:b/>
          <w:bCs/>
          <w:spacing w:val="0"/>
          <w:kern w:val="2"/>
          <w:sz w:val="44"/>
          <w:szCs w:val="44"/>
          <w:lang w:eastAsia="zh-CN"/>
        </w:rPr>
        <w:t>理财产品发售公告</w:t>
      </w:r>
    </w:p>
    <w:p w14:paraId="6FF9154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pacing w:val="0"/>
          <w:kern w:val="2"/>
          <w:sz w:val="32"/>
          <w:szCs w:val="32"/>
          <w:lang w:val="en-US" w:eastAsia="zh-CN"/>
        </w:rPr>
      </w:pPr>
      <w:r>
        <w:rPr>
          <w:rFonts w:hint="eastAsia" w:ascii="仿宋_GB2312" w:hAnsi="仿宋_GB2312" w:eastAsia="仿宋_GB2312" w:cs="仿宋_GB2312"/>
          <w:spacing w:val="0"/>
          <w:kern w:val="2"/>
          <w:sz w:val="32"/>
          <w:szCs w:val="32"/>
          <w:lang w:val="en-US" w:eastAsia="zh-CN"/>
        </w:rPr>
        <w:t>为有效满足客户需求，我行将于2026年8月7日起代理销售苏银理财恒源封闭纯债384期9月A份额</w:t>
      </w:r>
      <w:r>
        <w:rPr>
          <w:rFonts w:hint="eastAsia" w:ascii="仿宋_GB2312" w:hAnsi="仿宋_GB2312" w:eastAsia="仿宋_GB2312" w:cs="仿宋_GB2312"/>
          <w:spacing w:val="0"/>
          <w:kern w:val="2"/>
          <w:sz w:val="32"/>
          <w:szCs w:val="32"/>
          <w:lang w:val="en-US" w:eastAsia="zh-CN"/>
        </w:rPr>
        <w:t>理财产品，本产品由苏银理财有限责任公司发行与管理，代销机构江苏盱眙农村商业银行股份有限公司不承担产品的投资、兑付和风险管理责任，具体产品要素信息公告如下：</w:t>
      </w:r>
    </w:p>
    <w:p w14:paraId="5E6455AC">
      <w:pPr>
        <w:spacing w:line="480" w:lineRule="exact"/>
        <w:ind w:firstLine="480"/>
        <w:jc w:val="center"/>
        <w:rPr>
          <w:rFonts w:ascii="仿宋_GB2312" w:hAnsi="宋体" w:eastAsia="仿宋_GB2312"/>
          <w:b/>
          <w:bCs/>
          <w:sz w:val="28"/>
          <w:szCs w:val="28"/>
        </w:rPr>
      </w:pPr>
      <w:r>
        <w:rPr>
          <w:rFonts w:hint="eastAsia" w:ascii="仿宋_GB2312" w:hAnsi="宋体" w:eastAsia="仿宋_GB2312"/>
          <w:b/>
          <w:bCs/>
          <w:sz w:val="28"/>
          <w:szCs w:val="28"/>
        </w:rPr>
        <w:t>代理销售理财产品要素表和代销费率</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3"/>
        <w:gridCol w:w="6095"/>
      </w:tblGrid>
      <w:tr w14:paraId="683E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0EDCC298">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产品名称</w:t>
            </w:r>
          </w:p>
        </w:tc>
        <w:tc>
          <w:tcPr>
            <w:tcW w:w="6095" w:type="dxa"/>
            <w:vAlign w:val="center"/>
          </w:tcPr>
          <w:p w14:paraId="4B535C83">
            <w:pPr>
              <w:spacing w:line="320" w:lineRule="exact"/>
              <w:jc w:val="both"/>
              <w:rPr>
                <w:rFonts w:hint="default" w:ascii="仿宋_GB2312" w:hAnsi="仿宋" w:eastAsia="仿宋_GB2312"/>
                <w:bCs/>
                <w:kern w:val="0"/>
                <w:sz w:val="20"/>
                <w:szCs w:val="21"/>
                <w:lang w:val="en-US" w:eastAsia="zh-CN"/>
              </w:rPr>
            </w:pPr>
            <w:r>
              <w:rPr>
                <w:rFonts w:ascii="楷体" w:hAnsi="楷体" w:eastAsia="楷体" w:cs="楷体"/>
                <w:b w:val="0"/>
                <w:i w:val="0"/>
                <w:color w:val="auto"/>
                <w:sz w:val="20"/>
                <w:u w:val="none"/>
              </w:rPr>
              <w:t>苏银理财恒源封闭纯债384期</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9月A份额：苏银理财恒源封闭纯债384期9月A/J25741</w:t>
            </w:r>
          </w:p>
        </w:tc>
      </w:tr>
      <w:tr w14:paraId="6E24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3D7B1D47">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理财信息登记系统</w:t>
            </w:r>
          </w:p>
          <w:p w14:paraId="726322DD">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产品编码</w:t>
            </w:r>
          </w:p>
        </w:tc>
        <w:tc>
          <w:tcPr>
            <w:tcW w:w="6095" w:type="dxa"/>
            <w:vAlign w:val="center"/>
          </w:tcPr>
          <w:p w14:paraId="3D0230C3">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Z7003126000336</w:t>
            </w:r>
          </w:p>
        </w:tc>
      </w:tr>
      <w:tr w14:paraId="04B2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64B11221">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产品类型</w:t>
            </w:r>
          </w:p>
        </w:tc>
        <w:tc>
          <w:tcPr>
            <w:tcW w:w="6095" w:type="dxa"/>
            <w:vAlign w:val="center"/>
          </w:tcPr>
          <w:p w14:paraId="10B55F5B">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固定收益类、公募、封闭式</w:t>
            </w:r>
          </w:p>
        </w:tc>
      </w:tr>
      <w:tr w14:paraId="7D74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34EB6FE9">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募集期/开放期</w:t>
            </w:r>
          </w:p>
        </w:tc>
        <w:tc>
          <w:tcPr>
            <w:tcW w:w="6095" w:type="dxa"/>
            <w:vAlign w:val="center"/>
          </w:tcPr>
          <w:p w14:paraId="1B1D92AC">
            <w:pPr>
              <w:spacing w:line="320" w:lineRule="exact"/>
              <w:jc w:val="both"/>
              <w:rPr>
                <w:rFonts w:ascii="仿宋_GB2312" w:hAnsi="仿宋" w:eastAsia="仿宋_GB2312"/>
                <w:bCs/>
                <w:kern w:val="0"/>
                <w:sz w:val="20"/>
                <w:szCs w:val="21"/>
              </w:rPr>
            </w:pPr>
            <w:r>
              <w:rPr>
                <w:rFonts w:ascii="楷体" w:hAnsi="楷体" w:eastAsia="楷体" w:cs="楷体"/>
                <w:b w:val="0"/>
                <w:i w:val="0"/>
                <w:color w:val="auto"/>
                <w:sz w:val="20"/>
                <w:u w:val="none"/>
              </w:rPr>
              <w:t>2026年8月6日至2026年8月12日</w:t>
            </w:r>
          </w:p>
        </w:tc>
      </w:tr>
      <w:tr w14:paraId="3CFE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7C0EA752">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成立日/份额确认日</w:t>
            </w:r>
          </w:p>
        </w:tc>
        <w:tc>
          <w:tcPr>
            <w:tcW w:w="6095" w:type="dxa"/>
            <w:vAlign w:val="center"/>
          </w:tcPr>
          <w:p w14:paraId="4B1C58E1">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2026年8月13日</w:t>
            </w:r>
          </w:p>
        </w:tc>
      </w:tr>
      <w:tr w14:paraId="131C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26AE92D">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到期日</w:t>
            </w:r>
          </w:p>
        </w:tc>
        <w:tc>
          <w:tcPr>
            <w:tcW w:w="6095" w:type="dxa"/>
            <w:vAlign w:val="center"/>
          </w:tcPr>
          <w:p w14:paraId="2E9DEE85">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2027年5月20日</w:t>
            </w:r>
          </w:p>
        </w:tc>
      </w:tr>
      <w:tr w14:paraId="4280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617BF32C">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存续期限</w:t>
            </w:r>
          </w:p>
        </w:tc>
        <w:tc>
          <w:tcPr>
            <w:tcW w:w="6095" w:type="dxa"/>
            <w:vAlign w:val="center"/>
          </w:tcPr>
          <w:p w14:paraId="1DD46DE3">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280天</w:t>
            </w:r>
          </w:p>
        </w:tc>
      </w:tr>
      <w:tr w14:paraId="0F5C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B0E6EEB">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投资起点</w:t>
            </w:r>
          </w:p>
        </w:tc>
        <w:tc>
          <w:tcPr>
            <w:tcW w:w="6095" w:type="dxa"/>
            <w:vAlign w:val="center"/>
          </w:tcPr>
          <w:p w14:paraId="6586B67C">
            <w:pPr>
              <w:spacing w:line="320" w:lineRule="exact"/>
              <w:jc w:val="both"/>
              <w:rPr>
                <w:rFonts w:hint="eastAsia" w:ascii="仿宋_GB2312" w:hAnsi="仿宋" w:eastAsia="仿宋_GB2312"/>
                <w:bCs/>
                <w:kern w:val="0"/>
                <w:sz w:val="20"/>
                <w:szCs w:val="21"/>
              </w:rPr>
            </w:pPr>
            <w:r>
              <w:rPr>
                <w:rFonts w:hint="eastAsia" w:ascii="楷体" w:hAnsi="楷体" w:eastAsia="楷体" w:cs="楷体"/>
                <w:b w:val="0"/>
                <w:i w:val="0"/>
                <w:color w:val="auto"/>
                <w:sz w:val="20"/>
                <w:u w:val="none"/>
                <w:lang w:val="en-US" w:eastAsia="zh-CN"/>
              </w:rPr>
              <w:t>A份额：1元/1元的整数倍</w:t>
            </w:r>
          </w:p>
        </w:tc>
      </w:tr>
      <w:tr w14:paraId="2ED1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F370794">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销售规模</w:t>
            </w:r>
          </w:p>
        </w:tc>
        <w:tc>
          <w:tcPr>
            <w:tcW w:w="6095" w:type="dxa"/>
            <w:vAlign w:val="center"/>
          </w:tcPr>
          <w:p w14:paraId="33C078C5">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管理人可依据产品及市场情况对额度进行调整并及时与销售机构进行沟通，具体额度以管理人实际释放为准。</w:t>
            </w:r>
          </w:p>
        </w:tc>
      </w:tr>
      <w:tr w14:paraId="1988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E1422EF">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投资范围</w:t>
            </w:r>
          </w:p>
        </w:tc>
        <w:tc>
          <w:tcPr>
            <w:tcW w:w="6095" w:type="dxa"/>
            <w:vAlign w:val="center"/>
          </w:tcPr>
          <w:p w14:paraId="04B4CF17">
            <w:pPr>
              <w:spacing w:line="320" w:lineRule="exact"/>
              <w:jc w:val="both"/>
              <w:rPr>
                <w:rFonts w:ascii="仿宋_GB2312" w:hAnsi="仿宋" w:eastAsia="仿宋_GB2312"/>
                <w:bCs/>
                <w:kern w:val="0"/>
                <w:sz w:val="20"/>
                <w:szCs w:val="21"/>
              </w:rPr>
            </w:pPr>
            <w:r>
              <w:rPr>
                <w:rFonts w:ascii="楷体" w:hAnsi="楷体" w:eastAsia="楷体" w:cs="楷体"/>
                <w:b w:val="0"/>
                <w:i w:val="0"/>
                <w:color w:val="auto"/>
                <w:sz w:val="20"/>
                <w:u w:val="none"/>
              </w:rPr>
              <w:t>本理财产品直接或间接投资于货币市场工具、银行存款、存单、债券（含永续债）和监管机构允许投资的其他标准化类资产。具体资产投资比例为：货币市场工具、债券等固定收益类资产占产品资产总值比例不低于80%，符合监管要求的其他资产占产品资产总值比例不超过20%。</w:t>
            </w:r>
          </w:p>
        </w:tc>
      </w:tr>
      <w:tr w14:paraId="5E4B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B194E1A">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风险评级</w:t>
            </w:r>
          </w:p>
        </w:tc>
        <w:tc>
          <w:tcPr>
            <w:tcW w:w="6095" w:type="dxa"/>
            <w:vAlign w:val="center"/>
          </w:tcPr>
          <w:p w14:paraId="01792598">
            <w:pPr>
              <w:spacing w:line="320" w:lineRule="exact"/>
              <w:jc w:val="both"/>
              <w:rPr>
                <w:rFonts w:hint="eastAsia" w:ascii="仿宋_GB2312" w:hAnsi="仿宋" w:eastAsia="仿宋_GB2312"/>
                <w:bCs/>
                <w:kern w:val="0"/>
                <w:sz w:val="20"/>
                <w:szCs w:val="21"/>
              </w:rPr>
            </w:pPr>
            <w:r>
              <w:rPr>
                <w:rFonts w:ascii="楷体" w:hAnsi="楷体" w:eastAsia="楷体" w:cs="楷体"/>
                <w:b w:val="0"/>
                <w:i w:val="0"/>
                <w:color w:val="auto"/>
                <w:sz w:val="20"/>
                <w:u w:val="none"/>
              </w:rPr>
              <w:t>二级（中低风险）</w:t>
            </w:r>
          </w:p>
        </w:tc>
      </w:tr>
      <w:tr w14:paraId="1038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61E3F2B2">
            <w:pPr>
              <w:spacing w:line="320" w:lineRule="exact"/>
              <w:jc w:val="both"/>
              <w:rPr>
                <w:rFonts w:hint="default" w:ascii="仿宋_GB2312" w:hAnsi="仿宋" w:eastAsia="仿宋_GB2312"/>
                <w:b/>
                <w:kern w:val="0"/>
                <w:sz w:val="20"/>
                <w:szCs w:val="21"/>
                <w:lang w:val="en-US" w:eastAsia="zh-CN"/>
              </w:rPr>
            </w:pPr>
            <w:r>
              <w:rPr>
                <w:rFonts w:hint="eastAsia" w:ascii="仿宋_GB2312" w:hAnsi="仿宋" w:eastAsia="仿宋_GB2312"/>
                <w:b/>
                <w:kern w:val="0"/>
                <w:sz w:val="20"/>
                <w:szCs w:val="21"/>
              </w:rPr>
              <w:t>代销服务费率</w:t>
            </w:r>
            <w:r>
              <w:rPr>
                <w:rFonts w:hint="eastAsia" w:ascii="仿宋_GB2312" w:hAnsi="仿宋" w:eastAsia="仿宋_GB2312"/>
                <w:b/>
                <w:kern w:val="0"/>
                <w:sz w:val="20"/>
                <w:szCs w:val="21"/>
                <w:lang w:val="en-US" w:eastAsia="zh-CN"/>
              </w:rPr>
              <w:t>及生效时间</w:t>
            </w:r>
          </w:p>
        </w:tc>
        <w:tc>
          <w:tcPr>
            <w:tcW w:w="6095" w:type="dxa"/>
            <w:vAlign w:val="center"/>
          </w:tcPr>
          <w:p w14:paraId="34B74784">
            <w:pPr>
              <w:spacing w:line="320" w:lineRule="exact"/>
              <w:jc w:val="both"/>
              <w:rPr>
                <w:rFonts w:hint="eastAsia" w:ascii="楷体" w:hAnsi="楷体" w:eastAsia="楷体" w:cs="宋体"/>
                <w:spacing w:val="-2"/>
                <w:sz w:val="20"/>
                <w:szCs w:val="20"/>
                <w:lang w:val="en-US" w:eastAsia="zh-CN"/>
              </w:rPr>
            </w:pPr>
            <w:r>
              <w:rPr>
                <w:rFonts w:ascii="楷体" w:hAnsi="楷体" w:eastAsia="楷体" w:cs="楷体"/>
                <w:b w:val="0"/>
                <w:i w:val="0"/>
                <w:color w:val="auto"/>
                <w:sz w:val="20"/>
                <w:u w:val="none"/>
              </w:rPr>
              <w:t>9月A份额：0.1</w:t>
            </w:r>
            <w:r>
              <w:rPr>
                <w:rFonts w:hint="eastAsia" w:ascii="楷体" w:hAnsi="楷体" w:eastAsia="楷体" w:cs="楷体"/>
                <w:b w:val="0"/>
                <w:i w:val="0"/>
                <w:color w:val="auto"/>
                <w:sz w:val="20"/>
                <w:u w:val="none"/>
                <w:lang w:val="en-US" w:eastAsia="zh-CN"/>
              </w:rPr>
              <w:t>0</w:t>
            </w:r>
            <w:r>
              <w:rPr>
                <w:rFonts w:ascii="楷体" w:hAnsi="楷体" w:eastAsia="楷体" w:cs="楷体"/>
                <w:b w:val="0"/>
                <w:i w:val="0"/>
                <w:color w:val="auto"/>
                <w:sz w:val="20"/>
                <w:u w:val="none"/>
              </w:rPr>
              <w:t>%/年</w:t>
            </w:r>
            <w:r>
              <w:rPr>
                <w:rFonts w:ascii="楷体" w:hAnsi="楷体" w:eastAsia="楷体" w:cs="楷体"/>
                <w:b w:val="0"/>
                <w:i w:val="0"/>
                <w:color w:val="auto"/>
                <w:sz w:val="20"/>
                <w:u w:val="none"/>
              </w:rPr>
              <w:br w:type="textWrapping"/>
            </w:r>
            <w:r>
              <w:rPr>
                <w:rFonts w:hint="eastAsia" w:ascii="楷体" w:hAnsi="楷体" w:eastAsia="楷体" w:cs="宋体"/>
                <w:spacing w:val="-2"/>
                <w:sz w:val="20"/>
                <w:szCs w:val="20"/>
                <w:lang w:val="en-US" w:eastAsia="zh-CN"/>
              </w:rPr>
              <w:t>自上架销售日起执行，之后如有调整则另行约定</w:t>
            </w:r>
          </w:p>
          <w:p w14:paraId="707EE909">
            <w:pPr>
              <w:spacing w:line="320" w:lineRule="exact"/>
              <w:jc w:val="both"/>
              <w:rPr>
                <w:rFonts w:hint="eastAsia" w:ascii="仿宋_GB2312" w:hAnsi="仿宋" w:eastAsia="仿宋_GB2312"/>
                <w:bCs/>
                <w:kern w:val="0"/>
                <w:sz w:val="20"/>
                <w:szCs w:val="21"/>
              </w:rPr>
            </w:pPr>
            <w:r>
              <w:rPr>
                <w:rFonts w:hint="eastAsia" w:ascii="楷体" w:hAnsi="楷体" w:eastAsia="楷体" w:cs="宋体"/>
                <w:spacing w:val="-2"/>
                <w:sz w:val="20"/>
                <w:szCs w:val="20"/>
                <w:lang w:val="en-US" w:eastAsia="zh-CN"/>
              </w:rPr>
              <w:t>如代销服务费超过销售服务费，则超出部分通过投资管理费分成进行差额补足</w:t>
            </w:r>
          </w:p>
        </w:tc>
      </w:tr>
      <w:tr w14:paraId="5FEB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4318EEB8">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业绩比较基准</w:t>
            </w:r>
          </w:p>
        </w:tc>
        <w:tc>
          <w:tcPr>
            <w:tcW w:w="6095" w:type="dxa"/>
            <w:vAlign w:val="center"/>
          </w:tcPr>
          <w:p w14:paraId="3077C4A9">
            <w:pPr>
              <w:spacing w:line="320" w:lineRule="exact"/>
              <w:jc w:val="both"/>
              <w:rPr>
                <w:rFonts w:hint="default" w:ascii="仿宋_GB2312" w:hAnsi="仿宋" w:eastAsia="仿宋_GB2312"/>
                <w:bCs/>
                <w:kern w:val="0"/>
                <w:sz w:val="20"/>
                <w:szCs w:val="21"/>
                <w:lang w:val="en-US" w:eastAsia="zh-CN"/>
              </w:rPr>
            </w:pPr>
            <w:r>
              <w:rPr>
                <w:rFonts w:ascii="楷体" w:hAnsi="楷体" w:eastAsia="楷体" w:cs="楷体"/>
                <w:b w:val="0"/>
                <w:i w:val="0"/>
                <w:color w:val="auto"/>
                <w:sz w:val="20"/>
                <w:u w:val="none"/>
              </w:rPr>
              <w:t>9月A份额：2.15%，2026年8月13日</w:t>
            </w:r>
          </w:p>
        </w:tc>
      </w:tr>
      <w:tr w14:paraId="6BDA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271973DC">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理财产品资金募集账户</w:t>
            </w:r>
          </w:p>
        </w:tc>
        <w:tc>
          <w:tcPr>
            <w:tcW w:w="6095" w:type="dxa"/>
            <w:vAlign w:val="center"/>
          </w:tcPr>
          <w:p w14:paraId="347620E3">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户名：苏银理财有限责任公司</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开户行：江苏银行南京河西支行</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账号：31120188000183568</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大额支付系统行号：313301098112</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请将客户购买资金划付至理财产品资金募集账户。</w:t>
            </w:r>
          </w:p>
        </w:tc>
      </w:tr>
    </w:tbl>
    <w:p w14:paraId="5FD07B2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温馨提示：在购买本产品前，投资者需认真阅读附件内容，若投资者对本产品内容有任何疑问，请向江苏盱眙农村商业银行各营业网点、营销部门咨询。理财非存款、产品有风险、投资需谨慎。</w:t>
      </w:r>
    </w:p>
    <w:p w14:paraId="5B246C9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附件：“苏银理财恒源封闭纯债384期</w:t>
      </w:r>
      <w:r>
        <w:rPr>
          <w:rFonts w:hint="eastAsia" w:ascii="仿宋_GB2312" w:hAnsi="仿宋_GB2312" w:eastAsia="仿宋_GB2312" w:cs="仿宋_GB2312"/>
          <w:sz w:val="32"/>
          <w:szCs w:val="32"/>
          <w:lang w:val="en-US" w:eastAsia="zh-CN"/>
        </w:rPr>
        <w:t>”理财产品合同.pdf</w:t>
      </w:r>
    </w:p>
    <w:p w14:paraId="746C5705"/>
    <w:p w14:paraId="1BC23250">
      <w:pPr>
        <w:pStyle w:val="2"/>
      </w:pPr>
      <w:bookmarkStart w:id="0" w:name="_GoBack"/>
      <w:bookmarkEnd w:id="0"/>
    </w:p>
    <w:p w14:paraId="6CEF29F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江苏盱眙农村商业银行股份有限公司</w:t>
      </w:r>
    </w:p>
    <w:p w14:paraId="69E90BB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2026年8月7日</w:t>
      </w:r>
    </w:p>
    <w:p w14:paraId="7543A36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0Y2ZkZmYwOGI2NjMyN2Y1MGRkN2I1N2YzNTFiODUifQ=="/>
  </w:docVars>
  <w:rsids>
    <w:rsidRoot w:val="002A2567"/>
    <w:rsid w:val="00010F42"/>
    <w:rsid w:val="000113E6"/>
    <w:rsid w:val="00052377"/>
    <w:rsid w:val="00057434"/>
    <w:rsid w:val="00065392"/>
    <w:rsid w:val="000E38DB"/>
    <w:rsid w:val="000E6CFF"/>
    <w:rsid w:val="00101AA4"/>
    <w:rsid w:val="00114388"/>
    <w:rsid w:val="00170593"/>
    <w:rsid w:val="00176281"/>
    <w:rsid w:val="002148AC"/>
    <w:rsid w:val="0024209E"/>
    <w:rsid w:val="0025550A"/>
    <w:rsid w:val="00275F5B"/>
    <w:rsid w:val="0028562B"/>
    <w:rsid w:val="00293B10"/>
    <w:rsid w:val="002A2567"/>
    <w:rsid w:val="002B7653"/>
    <w:rsid w:val="002E6FED"/>
    <w:rsid w:val="0032647D"/>
    <w:rsid w:val="00333333"/>
    <w:rsid w:val="0046135D"/>
    <w:rsid w:val="004B7FB0"/>
    <w:rsid w:val="004E33D0"/>
    <w:rsid w:val="004E5080"/>
    <w:rsid w:val="0056072C"/>
    <w:rsid w:val="005760D9"/>
    <w:rsid w:val="005961EE"/>
    <w:rsid w:val="005B5166"/>
    <w:rsid w:val="005E2815"/>
    <w:rsid w:val="00630DB3"/>
    <w:rsid w:val="00632197"/>
    <w:rsid w:val="006362A9"/>
    <w:rsid w:val="00664413"/>
    <w:rsid w:val="00684268"/>
    <w:rsid w:val="0069230F"/>
    <w:rsid w:val="006A5CBD"/>
    <w:rsid w:val="006A65E8"/>
    <w:rsid w:val="006B27D0"/>
    <w:rsid w:val="006C193C"/>
    <w:rsid w:val="006C5EBB"/>
    <w:rsid w:val="00711FD3"/>
    <w:rsid w:val="007170EE"/>
    <w:rsid w:val="00727ACF"/>
    <w:rsid w:val="0076761C"/>
    <w:rsid w:val="00770137"/>
    <w:rsid w:val="00784AB7"/>
    <w:rsid w:val="007A6607"/>
    <w:rsid w:val="007B0D4C"/>
    <w:rsid w:val="007B1461"/>
    <w:rsid w:val="007B6E4B"/>
    <w:rsid w:val="007F206C"/>
    <w:rsid w:val="008328F6"/>
    <w:rsid w:val="00842F8B"/>
    <w:rsid w:val="008540BA"/>
    <w:rsid w:val="00856BF3"/>
    <w:rsid w:val="00881866"/>
    <w:rsid w:val="008D3ED6"/>
    <w:rsid w:val="009101F9"/>
    <w:rsid w:val="009A0346"/>
    <w:rsid w:val="009A1AF8"/>
    <w:rsid w:val="009E7B4C"/>
    <w:rsid w:val="00A906FA"/>
    <w:rsid w:val="00A910F5"/>
    <w:rsid w:val="00AA0947"/>
    <w:rsid w:val="00AB1D60"/>
    <w:rsid w:val="00AC583D"/>
    <w:rsid w:val="00AD2E79"/>
    <w:rsid w:val="00B02B03"/>
    <w:rsid w:val="00B1592B"/>
    <w:rsid w:val="00B319EE"/>
    <w:rsid w:val="00B413CE"/>
    <w:rsid w:val="00B83FFB"/>
    <w:rsid w:val="00BF3E58"/>
    <w:rsid w:val="00C31F29"/>
    <w:rsid w:val="00C45E8F"/>
    <w:rsid w:val="00C60226"/>
    <w:rsid w:val="00CA3C4F"/>
    <w:rsid w:val="00CC7B3A"/>
    <w:rsid w:val="00CD3F45"/>
    <w:rsid w:val="00D01AE4"/>
    <w:rsid w:val="00D05774"/>
    <w:rsid w:val="00D21E34"/>
    <w:rsid w:val="00D51886"/>
    <w:rsid w:val="00D52D58"/>
    <w:rsid w:val="00D73153"/>
    <w:rsid w:val="00DB4113"/>
    <w:rsid w:val="00DD192B"/>
    <w:rsid w:val="00DD33E2"/>
    <w:rsid w:val="00E33E54"/>
    <w:rsid w:val="00E35FF6"/>
    <w:rsid w:val="00E4703A"/>
    <w:rsid w:val="00E54B72"/>
    <w:rsid w:val="00E57EC5"/>
    <w:rsid w:val="00E826A7"/>
    <w:rsid w:val="00EA0946"/>
    <w:rsid w:val="00ED12A7"/>
    <w:rsid w:val="00ED43F9"/>
    <w:rsid w:val="00EE0A93"/>
    <w:rsid w:val="00F260DE"/>
    <w:rsid w:val="00F62F17"/>
    <w:rsid w:val="00F9419D"/>
    <w:rsid w:val="00FC400B"/>
    <w:rsid w:val="00FE7B1A"/>
    <w:rsid w:val="028A3BB2"/>
    <w:rsid w:val="03D65E86"/>
    <w:rsid w:val="046105BC"/>
    <w:rsid w:val="06401339"/>
    <w:rsid w:val="06793881"/>
    <w:rsid w:val="07B87D87"/>
    <w:rsid w:val="0A432992"/>
    <w:rsid w:val="0A903EE9"/>
    <w:rsid w:val="0AB874ED"/>
    <w:rsid w:val="0B594E14"/>
    <w:rsid w:val="0E797E2D"/>
    <w:rsid w:val="0F3777F4"/>
    <w:rsid w:val="101D0A51"/>
    <w:rsid w:val="10966C62"/>
    <w:rsid w:val="10AF1053"/>
    <w:rsid w:val="12855B59"/>
    <w:rsid w:val="13BA219D"/>
    <w:rsid w:val="13DA76BF"/>
    <w:rsid w:val="14942C64"/>
    <w:rsid w:val="164B7BB9"/>
    <w:rsid w:val="17651C94"/>
    <w:rsid w:val="17676752"/>
    <w:rsid w:val="17AE3C6A"/>
    <w:rsid w:val="1B1A77CC"/>
    <w:rsid w:val="231A4E9E"/>
    <w:rsid w:val="25811599"/>
    <w:rsid w:val="286277EF"/>
    <w:rsid w:val="287357A1"/>
    <w:rsid w:val="28D52C13"/>
    <w:rsid w:val="29981D19"/>
    <w:rsid w:val="2A1E2E0C"/>
    <w:rsid w:val="2B671A15"/>
    <w:rsid w:val="2C90490A"/>
    <w:rsid w:val="2E1D603E"/>
    <w:rsid w:val="2EA11CC6"/>
    <w:rsid w:val="2EAC638E"/>
    <w:rsid w:val="3106203F"/>
    <w:rsid w:val="31544A64"/>
    <w:rsid w:val="33CE7DB3"/>
    <w:rsid w:val="34A824F3"/>
    <w:rsid w:val="38B65A54"/>
    <w:rsid w:val="395E53F7"/>
    <w:rsid w:val="39693A3D"/>
    <w:rsid w:val="39922C7A"/>
    <w:rsid w:val="39EE147E"/>
    <w:rsid w:val="3B7641EF"/>
    <w:rsid w:val="3C8D161D"/>
    <w:rsid w:val="3C986236"/>
    <w:rsid w:val="3CC2681C"/>
    <w:rsid w:val="3E2F3672"/>
    <w:rsid w:val="3F8867C0"/>
    <w:rsid w:val="418B07BE"/>
    <w:rsid w:val="43085C7E"/>
    <w:rsid w:val="43B10892"/>
    <w:rsid w:val="43BF6278"/>
    <w:rsid w:val="44D336CE"/>
    <w:rsid w:val="46D05241"/>
    <w:rsid w:val="4A9B7F39"/>
    <w:rsid w:val="4AD60AAD"/>
    <w:rsid w:val="4BA7217E"/>
    <w:rsid w:val="4C443877"/>
    <w:rsid w:val="4CCA51C9"/>
    <w:rsid w:val="4EA96EEA"/>
    <w:rsid w:val="501657FE"/>
    <w:rsid w:val="50276B11"/>
    <w:rsid w:val="54184849"/>
    <w:rsid w:val="553C6D8A"/>
    <w:rsid w:val="555F79A1"/>
    <w:rsid w:val="57DC32AE"/>
    <w:rsid w:val="58333693"/>
    <w:rsid w:val="58EA0034"/>
    <w:rsid w:val="594A1F01"/>
    <w:rsid w:val="59960976"/>
    <w:rsid w:val="5BA40524"/>
    <w:rsid w:val="5BDA0AF0"/>
    <w:rsid w:val="5CEA03DC"/>
    <w:rsid w:val="5E551CA4"/>
    <w:rsid w:val="616131B7"/>
    <w:rsid w:val="623B0EA7"/>
    <w:rsid w:val="636A4497"/>
    <w:rsid w:val="63AB315B"/>
    <w:rsid w:val="64A23136"/>
    <w:rsid w:val="65B965B3"/>
    <w:rsid w:val="67E27E18"/>
    <w:rsid w:val="68231BCC"/>
    <w:rsid w:val="696919D6"/>
    <w:rsid w:val="6C5F78E0"/>
    <w:rsid w:val="6CD22065"/>
    <w:rsid w:val="6D86178F"/>
    <w:rsid w:val="6DDB2D36"/>
    <w:rsid w:val="6E2E2CFB"/>
    <w:rsid w:val="70805AE0"/>
    <w:rsid w:val="71100D86"/>
    <w:rsid w:val="714D105F"/>
    <w:rsid w:val="7297547D"/>
    <w:rsid w:val="7406301C"/>
    <w:rsid w:val="76BB67A1"/>
    <w:rsid w:val="76E56A66"/>
    <w:rsid w:val="77083A84"/>
    <w:rsid w:val="772B227B"/>
    <w:rsid w:val="781C3771"/>
    <w:rsid w:val="7B0504E8"/>
    <w:rsid w:val="7B177F53"/>
    <w:rsid w:val="7F536D0A"/>
    <w:rsid w:val="7F8F0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40" w:lineRule="atLeast"/>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autoSpaceDE w:val="0"/>
      <w:autoSpaceDN w:val="0"/>
      <w:adjustRightInd w:val="0"/>
      <w:spacing w:before="162"/>
      <w:ind w:left="120"/>
      <w:jc w:val="left"/>
    </w:pPr>
    <w:rPr>
      <w:rFonts w:ascii="宋体" w:hAnsi="Times New Roman"/>
      <w:kern w:val="0"/>
      <w:sz w:val="20"/>
      <w:szCs w:val="21"/>
    </w:rPr>
  </w:style>
  <w:style w:type="paragraph" w:styleId="3">
    <w:name w:val="Balloon Text"/>
    <w:basedOn w:val="1"/>
    <w:link w:val="11"/>
    <w:semiHidden/>
    <w:unhideWhenUsed/>
    <w:qFormat/>
    <w:uiPriority w:val="99"/>
    <w:pPr>
      <w:spacing w:line="240" w:lineRule="auto"/>
    </w:pPr>
    <w:rPr>
      <w:sz w:val="18"/>
      <w:szCs w:val="18"/>
    </w:rPr>
  </w:style>
  <w:style w:type="paragraph" w:styleId="4">
    <w:name w:val="footer"/>
    <w:basedOn w:val="1"/>
    <w:link w:val="10"/>
    <w:unhideWhenUsed/>
    <w:qFormat/>
    <w:uiPriority w:val="99"/>
    <w:pPr>
      <w:widowControl w:val="0"/>
      <w:tabs>
        <w:tab w:val="center" w:pos="4153"/>
        <w:tab w:val="right" w:pos="8306"/>
      </w:tabs>
      <w:snapToGrid w:val="0"/>
      <w:spacing w:line="240" w:lineRule="auto"/>
    </w:pPr>
    <w:rPr>
      <w:rFonts w:asciiTheme="minorHAnsi" w:hAnsiTheme="minorHAnsi" w:eastAsiaTheme="minorEastAsia" w:cstheme="minorBidi"/>
      <w:sz w:val="18"/>
      <w:szCs w:val="18"/>
    </w:rPr>
  </w:style>
  <w:style w:type="paragraph" w:styleId="5">
    <w:name w:val="header"/>
    <w:basedOn w:val="1"/>
    <w:link w:val="9"/>
    <w:unhideWhenUsed/>
    <w:qFormat/>
    <w:uiPriority w:val="99"/>
    <w:pPr>
      <w:widowControl w:val="0"/>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table" w:styleId="7">
    <w:name w:val="Table Grid"/>
    <w:basedOn w:val="6"/>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rFonts w:ascii="Calibri" w:hAnsi="Calibri" w:eastAsia="宋体" w:cs="Times New Roman"/>
      <w:sz w:val="18"/>
      <w:szCs w:val="18"/>
    </w:rPr>
  </w:style>
  <w:style w:type="paragraph" w:customStyle="1" w:styleId="1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630</Words>
  <Characters>838</Characters>
  <Lines>5</Lines>
  <Paragraphs>1</Paragraphs>
  <TotalTime>0</TotalTime>
  <ScaleCrop>false</ScaleCrop>
  <LinksUpToDate>false</LinksUpToDate>
  <CharactersWithSpaces>838</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2022-05-25T01:21:00Z</dcterms:created>
  <dc:creator>cyx</dc:creator>
  <cp:lastModifiedBy>Lenovo</cp:lastModifiedBy>
  <cp:lastPrinted>2022-11-07T01:50:00Z</cp:lastPrinted>
  <dcterms:modified xsi:type="dcterms:W3CDTF">2026-08-07T09:49:30Z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5B77E7CEEC58BC6AFAE8886BEB80DBEB">
    <vt:lpwstr>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</vt:lpwstr>
  </property>
  <property fmtid="{D5CDD505-2E9C-101B-9397-08002B2CF9AE}" pid="3" name="KSOProductBuildVer">
    <vt:lpwstr>2052-12.8.2.21549</vt:lpwstr>
  </property>
  <property fmtid="{D5CDD505-2E9C-101B-9397-08002B2CF9AE}" pid="4" name="ICV">
    <vt:lpwstr>D1FABE1D99244126A82E4C98837F3785</vt:lpwstr>
  </property>
</Properties>
</file>