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CD31C8">
      <w:pPr>
        <w:jc w:val="center"/>
        <w:outlineLvl w:val="0"/>
        <w:rPr>
          <w:rFonts w:ascii="宋体" w:hAnsi="宋体" w:cs="宋体"/>
          <w:sz w:val="48"/>
          <w:szCs w:val="48"/>
        </w:rPr>
      </w:pPr>
      <w:bookmarkStart w:id="0" w:name="_Hlk38789733"/>
    </w:p>
    <w:p w14:paraId="4DFB88CB">
      <w:pPr>
        <w:pStyle w:val="64"/>
        <w:ind w:firstLine="420"/>
      </w:pPr>
    </w:p>
    <w:p w14:paraId="45BBA3FF">
      <w:pPr>
        <w:jc w:val="center"/>
        <w:outlineLvl w:val="0"/>
        <w:rPr>
          <w:rFonts w:ascii="宋体" w:cs="宋体"/>
          <w:b/>
          <w:sz w:val="52"/>
          <w:szCs w:val="52"/>
        </w:rPr>
      </w:pPr>
      <w:r>
        <w:rPr>
          <w:rFonts w:hint="eastAsia" w:ascii="宋体" w:hAnsi="宋体" w:cs="宋体"/>
          <w:b/>
          <w:sz w:val="52"/>
          <w:szCs w:val="52"/>
        </w:rPr>
        <w:t xml:space="preserve">竞 争 性 磋 商 </w:t>
      </w:r>
    </w:p>
    <w:p w14:paraId="4A8F35B8">
      <w:pPr>
        <w:widowControl/>
        <w:wordWrap w:val="0"/>
        <w:jc w:val="center"/>
        <w:rPr>
          <w:rFonts w:ascii="微软雅黑" w:hAnsi="微软雅黑" w:eastAsia="微软雅黑" w:cs="宋体"/>
          <w:color w:val="333333"/>
          <w:kern w:val="0"/>
          <w:sz w:val="13"/>
          <w:szCs w:val="13"/>
        </w:rPr>
      </w:pPr>
      <w:r>
        <w:rPr>
          <w:rFonts w:hint="eastAsia" w:ascii="微软雅黑" w:hAnsi="微软雅黑" w:eastAsia="微软雅黑" w:cs="宋体"/>
          <w:color w:val="333333"/>
          <w:kern w:val="0"/>
          <w:sz w:val="13"/>
          <w:szCs w:val="13"/>
        </w:rPr>
        <w:t xml:space="preserve"> </w:t>
      </w:r>
    </w:p>
    <w:p w14:paraId="730CA3A4">
      <w:pPr>
        <w:wordWrap w:val="0"/>
        <w:jc w:val="center"/>
        <w:rPr>
          <w:rFonts w:ascii="微软雅黑" w:hAnsi="微软雅黑" w:eastAsia="微软雅黑" w:cs="宋体"/>
          <w:color w:val="333333"/>
          <w:kern w:val="0"/>
          <w:szCs w:val="21"/>
        </w:rPr>
      </w:pPr>
      <w:r>
        <w:rPr>
          <w:rFonts w:hint="eastAsia" w:ascii="微软雅黑" w:hAnsi="微软雅黑" w:eastAsia="微软雅黑" w:cs="宋体"/>
          <w:color w:val="333333"/>
          <w:kern w:val="0"/>
          <w:szCs w:val="21"/>
        </w:rPr>
        <w:t xml:space="preserve"> </w:t>
      </w:r>
    </w:p>
    <w:p w14:paraId="46EEB593">
      <w:pPr>
        <w:wordWrap w:val="0"/>
        <w:jc w:val="center"/>
        <w:rPr>
          <w:rFonts w:ascii="宋体" w:hAnsi="宋体" w:cs="宋体"/>
          <w:sz w:val="28"/>
          <w:szCs w:val="28"/>
        </w:rPr>
      </w:pPr>
      <w:r>
        <w:rPr>
          <w:rFonts w:hint="eastAsia" w:ascii="宋体" w:hAnsi="宋体" w:cs="宋体"/>
          <w:sz w:val="28"/>
          <w:szCs w:val="28"/>
        </w:rPr>
        <w:t xml:space="preserve"> </w:t>
      </w:r>
    </w:p>
    <w:p w14:paraId="4EB8B0ED">
      <w:pPr>
        <w:pStyle w:val="64"/>
        <w:ind w:firstLine="420"/>
      </w:pPr>
    </w:p>
    <w:p w14:paraId="1E685CDA">
      <w:pPr>
        <w:wordWrap w:val="0"/>
        <w:jc w:val="center"/>
        <w:rPr>
          <w:rFonts w:hint="eastAsia" w:ascii="宋体" w:hAnsi="宋体" w:eastAsia="宋体" w:cs="宋体"/>
          <w:sz w:val="24"/>
          <w:lang w:val="en-US" w:eastAsia="zh-CN"/>
        </w:rPr>
      </w:pPr>
      <w:r>
        <w:rPr>
          <w:rFonts w:hint="eastAsia" w:ascii="宋体" w:hAnsi="宋体" w:cs="宋体"/>
          <w:sz w:val="24"/>
        </w:rPr>
        <w:t>项目编号：</w:t>
      </w:r>
      <w:r>
        <w:rPr>
          <w:rFonts w:hint="eastAsia" w:ascii="宋体" w:hAnsi="宋体" w:cs="宋体"/>
          <w:sz w:val="24"/>
          <w:lang w:eastAsia="zh-CN"/>
        </w:rPr>
        <w:t>XSYC-2025-1-036</w:t>
      </w:r>
    </w:p>
    <w:p w14:paraId="24BEC820">
      <w:pPr>
        <w:snapToGrid w:val="0"/>
        <w:spacing w:line="480" w:lineRule="auto"/>
        <w:ind w:firstLine="400" w:firstLineChars="250"/>
        <w:jc w:val="center"/>
        <w:rPr>
          <w:rFonts w:ascii="微软雅黑" w:hAnsi="微软雅黑" w:eastAsia="微软雅黑"/>
          <w:color w:val="333333"/>
          <w:sz w:val="16"/>
          <w:szCs w:val="16"/>
        </w:rPr>
      </w:pPr>
      <w:r>
        <w:rPr>
          <w:rFonts w:hint="eastAsia" w:ascii="微软雅黑" w:hAnsi="微软雅黑" w:eastAsia="微软雅黑"/>
          <w:color w:val="333333"/>
          <w:sz w:val="16"/>
          <w:szCs w:val="16"/>
        </w:rPr>
        <w:t xml:space="preserve"> </w:t>
      </w:r>
    </w:p>
    <w:p w14:paraId="46103E8E">
      <w:pPr>
        <w:snapToGrid w:val="0"/>
        <w:spacing w:line="480" w:lineRule="auto"/>
        <w:ind w:firstLine="400" w:firstLineChars="250"/>
        <w:jc w:val="center"/>
        <w:rPr>
          <w:rFonts w:ascii="微软雅黑" w:hAnsi="微软雅黑" w:eastAsia="微软雅黑"/>
          <w:color w:val="333333"/>
          <w:sz w:val="16"/>
          <w:szCs w:val="16"/>
        </w:rPr>
      </w:pPr>
    </w:p>
    <w:p w14:paraId="783C99A3">
      <w:pPr>
        <w:snapToGrid w:val="0"/>
        <w:spacing w:line="480" w:lineRule="auto"/>
        <w:ind w:firstLine="400" w:firstLineChars="250"/>
        <w:jc w:val="center"/>
        <w:rPr>
          <w:rFonts w:ascii="微软雅黑" w:hAnsi="微软雅黑" w:eastAsia="微软雅黑"/>
          <w:color w:val="333333"/>
          <w:sz w:val="16"/>
          <w:szCs w:val="16"/>
        </w:rPr>
      </w:pPr>
    </w:p>
    <w:p w14:paraId="47DEEA11">
      <w:pPr>
        <w:snapToGrid w:val="0"/>
        <w:spacing w:line="480" w:lineRule="auto"/>
        <w:ind w:firstLine="400" w:firstLineChars="250"/>
        <w:jc w:val="center"/>
        <w:rPr>
          <w:rFonts w:ascii="微软雅黑" w:hAnsi="微软雅黑" w:eastAsia="微软雅黑"/>
          <w:color w:val="333333"/>
          <w:sz w:val="16"/>
          <w:szCs w:val="16"/>
        </w:rPr>
      </w:pPr>
    </w:p>
    <w:p w14:paraId="4DC65EB9">
      <w:pPr>
        <w:snapToGrid w:val="0"/>
        <w:spacing w:line="480" w:lineRule="auto"/>
        <w:ind w:firstLine="400" w:firstLineChars="250"/>
        <w:jc w:val="center"/>
        <w:rPr>
          <w:rFonts w:ascii="微软雅黑" w:hAnsi="微软雅黑" w:eastAsia="微软雅黑"/>
          <w:color w:val="333333"/>
          <w:sz w:val="16"/>
          <w:szCs w:val="16"/>
        </w:rPr>
      </w:pPr>
    </w:p>
    <w:p w14:paraId="4E2CC329">
      <w:pPr>
        <w:snapToGrid w:val="0"/>
        <w:spacing w:line="480" w:lineRule="auto"/>
        <w:ind w:firstLine="400" w:firstLineChars="250"/>
        <w:jc w:val="center"/>
        <w:rPr>
          <w:rFonts w:ascii="微软雅黑" w:hAnsi="微软雅黑" w:eastAsia="微软雅黑"/>
          <w:color w:val="333333"/>
          <w:sz w:val="16"/>
          <w:szCs w:val="16"/>
        </w:rPr>
      </w:pPr>
    </w:p>
    <w:p w14:paraId="2647E193">
      <w:pPr>
        <w:pStyle w:val="64"/>
        <w:ind w:firstLine="420"/>
      </w:pPr>
    </w:p>
    <w:p w14:paraId="2EA58A89">
      <w:pPr>
        <w:pStyle w:val="64"/>
        <w:ind w:firstLine="420"/>
        <w:rPr>
          <w:rFonts w:hint="eastAsia" w:eastAsia="Adobe 仿宋 Std R"/>
          <w:lang w:eastAsia="zh-CN"/>
        </w:rPr>
      </w:pPr>
    </w:p>
    <w:p w14:paraId="1FC08436">
      <w:pPr>
        <w:snapToGrid w:val="0"/>
        <w:spacing w:line="480" w:lineRule="auto"/>
        <w:ind w:firstLine="400" w:firstLineChars="250"/>
        <w:jc w:val="center"/>
        <w:rPr>
          <w:rFonts w:ascii="微软雅黑" w:hAnsi="微软雅黑" w:eastAsia="微软雅黑"/>
          <w:color w:val="333333"/>
          <w:sz w:val="16"/>
          <w:szCs w:val="16"/>
        </w:rPr>
      </w:pPr>
    </w:p>
    <w:p w14:paraId="379CC84F">
      <w:pPr>
        <w:snapToGrid w:val="0"/>
        <w:spacing w:line="480" w:lineRule="auto"/>
        <w:ind w:firstLine="400" w:firstLineChars="250"/>
        <w:jc w:val="center"/>
        <w:rPr>
          <w:rFonts w:ascii="微软雅黑" w:hAnsi="微软雅黑" w:eastAsia="微软雅黑"/>
          <w:color w:val="333333"/>
          <w:sz w:val="16"/>
          <w:szCs w:val="16"/>
        </w:rPr>
      </w:pPr>
    </w:p>
    <w:p w14:paraId="41397F17">
      <w:pPr>
        <w:keepNext w:val="0"/>
        <w:keepLines w:val="0"/>
        <w:pageBreakBefore w:val="0"/>
        <w:widowControl w:val="0"/>
        <w:kinsoku/>
        <w:wordWrap/>
        <w:overflowPunct/>
        <w:topLinePunct w:val="0"/>
        <w:autoSpaceDE/>
        <w:autoSpaceDN/>
        <w:bidi w:val="0"/>
        <w:adjustRightInd/>
        <w:spacing w:line="480" w:lineRule="auto"/>
        <w:jc w:val="left"/>
        <w:textAlignment w:val="auto"/>
        <w:rPr>
          <w:rFonts w:hint="default" w:ascii="宋体" w:hAnsi="宋体" w:eastAsia="宋体" w:cs="宋体"/>
          <w:sz w:val="28"/>
          <w:szCs w:val="28"/>
          <w:lang w:val="en-US" w:eastAsia="zh-CN"/>
        </w:rPr>
      </w:pPr>
      <w:r>
        <w:rPr>
          <w:rFonts w:hint="eastAsia" w:ascii="宋体" w:hAnsi="宋体" w:cs="宋体"/>
          <w:sz w:val="28"/>
          <w:szCs w:val="28"/>
          <w:lang w:val="en-US" w:eastAsia="zh-CN"/>
        </w:rPr>
        <w:t xml:space="preserve">       </w:t>
      </w:r>
      <w:r>
        <w:rPr>
          <w:rFonts w:hint="eastAsia" w:ascii="宋体" w:hAnsi="宋体" w:cs="宋体"/>
          <w:sz w:val="28"/>
          <w:szCs w:val="28"/>
        </w:rPr>
        <w:t>项目名称</w:t>
      </w:r>
      <w:r>
        <w:rPr>
          <w:rFonts w:ascii="宋体" w:hAnsi="宋体" w:cs="宋体"/>
          <w:sz w:val="28"/>
          <w:szCs w:val="28"/>
        </w:rPr>
        <w:t xml:space="preserve">: </w:t>
      </w:r>
      <w:r>
        <w:rPr>
          <w:rFonts w:hint="eastAsia" w:ascii="宋体" w:hAnsi="宋体" w:cs="宋体"/>
          <w:sz w:val="28"/>
          <w:szCs w:val="28"/>
        </w:rPr>
        <w:t>江苏盱眙农村商业银行不动产抵押及其他抵质押</w:t>
      </w:r>
      <w:r>
        <w:rPr>
          <w:rFonts w:hint="eastAsia" w:ascii="宋体" w:hAnsi="宋体" w:cs="宋体"/>
          <w:sz w:val="28"/>
          <w:szCs w:val="28"/>
          <w:lang w:val="en-US" w:eastAsia="zh-CN"/>
        </w:rPr>
        <w:t>交易价格</w:t>
      </w:r>
      <w:r>
        <w:rPr>
          <w:rFonts w:hint="eastAsia" w:ascii="宋体" w:hAnsi="宋体" w:cs="宋体"/>
          <w:sz w:val="28"/>
          <w:szCs w:val="28"/>
        </w:rPr>
        <w:t>评估</w:t>
      </w:r>
      <w:r>
        <w:rPr>
          <w:rFonts w:hint="eastAsia" w:ascii="宋体" w:hAnsi="宋体" w:cs="宋体"/>
          <w:sz w:val="28"/>
          <w:szCs w:val="28"/>
          <w:lang w:val="en-US" w:eastAsia="zh-CN"/>
        </w:rPr>
        <w:t>服务项目</w:t>
      </w:r>
    </w:p>
    <w:p w14:paraId="3FB82F45">
      <w:pPr>
        <w:keepNext w:val="0"/>
        <w:keepLines w:val="0"/>
        <w:pageBreakBefore w:val="0"/>
        <w:widowControl w:val="0"/>
        <w:kinsoku/>
        <w:wordWrap/>
        <w:overflowPunct/>
        <w:topLinePunct w:val="0"/>
        <w:autoSpaceDE/>
        <w:autoSpaceDN/>
        <w:bidi w:val="0"/>
        <w:adjustRightInd/>
        <w:snapToGrid w:val="0"/>
        <w:spacing w:line="480" w:lineRule="auto"/>
        <w:ind w:firstLine="1120" w:firstLineChars="400"/>
        <w:textAlignment w:val="auto"/>
        <w:rPr>
          <w:rFonts w:ascii="宋体" w:hAnsi="宋体" w:cs="宋体"/>
          <w:sz w:val="28"/>
          <w:szCs w:val="28"/>
        </w:rPr>
      </w:pPr>
      <w:r>
        <w:rPr>
          <w:rFonts w:hint="eastAsia" w:ascii="宋体" w:hAnsi="宋体" w:cs="宋体"/>
          <w:sz w:val="28"/>
          <w:szCs w:val="28"/>
        </w:rPr>
        <w:t>采 购 人：江苏盱眙农村商业银行股份有限公司</w:t>
      </w:r>
    </w:p>
    <w:p w14:paraId="17FA4003">
      <w:pPr>
        <w:keepNext w:val="0"/>
        <w:keepLines w:val="0"/>
        <w:pageBreakBefore w:val="0"/>
        <w:widowControl w:val="0"/>
        <w:kinsoku/>
        <w:wordWrap/>
        <w:overflowPunct/>
        <w:topLinePunct w:val="0"/>
        <w:autoSpaceDE/>
        <w:autoSpaceDN/>
        <w:bidi w:val="0"/>
        <w:adjustRightInd/>
        <w:snapToGrid w:val="0"/>
        <w:spacing w:line="480" w:lineRule="auto"/>
        <w:ind w:firstLine="1120" w:firstLineChars="400"/>
        <w:textAlignment w:val="auto"/>
        <w:rPr>
          <w:rFonts w:ascii="宋体" w:hAnsi="宋体" w:cs="宋体"/>
          <w:sz w:val="28"/>
          <w:szCs w:val="28"/>
        </w:rPr>
      </w:pPr>
      <w:r>
        <w:rPr>
          <w:rFonts w:hint="eastAsia" w:ascii="宋体" w:hAnsi="宋体" w:cs="宋体"/>
          <w:sz w:val="28"/>
          <w:szCs w:val="28"/>
        </w:rPr>
        <w:t>采购代理机构：中企华建友工程管理有限公司</w:t>
      </w:r>
    </w:p>
    <w:p w14:paraId="767673AD">
      <w:pPr>
        <w:outlineLvl w:val="0"/>
        <w:rPr>
          <w:rFonts w:ascii="宋体" w:cs="宋体"/>
          <w:sz w:val="28"/>
          <w:szCs w:val="28"/>
        </w:rPr>
      </w:pPr>
    </w:p>
    <w:p w14:paraId="3940A3B7">
      <w:pPr>
        <w:jc w:val="center"/>
        <w:outlineLvl w:val="0"/>
        <w:rPr>
          <w:rFonts w:ascii="宋体" w:cs="宋体"/>
          <w:sz w:val="28"/>
          <w:szCs w:val="28"/>
        </w:rPr>
      </w:pPr>
      <w:r>
        <w:rPr>
          <w:rFonts w:hint="eastAsia" w:ascii="宋体" w:cs="宋体"/>
          <w:sz w:val="28"/>
          <w:szCs w:val="28"/>
        </w:rPr>
        <w:t>2025年1</w:t>
      </w:r>
      <w:r>
        <w:rPr>
          <w:rFonts w:hint="eastAsia" w:ascii="宋体" w:cs="宋体"/>
          <w:sz w:val="28"/>
          <w:szCs w:val="28"/>
          <w:lang w:val="en-US" w:eastAsia="zh-CN"/>
        </w:rPr>
        <w:t>2</w:t>
      </w:r>
      <w:r>
        <w:rPr>
          <w:rFonts w:hint="eastAsia" w:ascii="宋体" w:cs="宋体"/>
          <w:sz w:val="28"/>
          <w:szCs w:val="28"/>
        </w:rPr>
        <w:t>月</w:t>
      </w:r>
    </w:p>
    <w:p w14:paraId="7FD584A9">
      <w:pPr>
        <w:pStyle w:val="64"/>
        <w:ind w:firstLine="420"/>
      </w:pPr>
    </w:p>
    <w:p w14:paraId="3D4F37CA">
      <w:pPr>
        <w:spacing w:line="400" w:lineRule="exact"/>
        <w:jc w:val="center"/>
        <w:outlineLvl w:val="0"/>
        <w:rPr>
          <w:rFonts w:ascii="宋体" w:cs="宋体"/>
          <w:sz w:val="32"/>
        </w:rPr>
      </w:pPr>
    </w:p>
    <w:p w14:paraId="231C058B">
      <w:pPr>
        <w:spacing w:line="400" w:lineRule="exact"/>
        <w:jc w:val="center"/>
        <w:outlineLvl w:val="0"/>
        <w:rPr>
          <w:rFonts w:ascii="宋体" w:cs="宋体"/>
          <w:sz w:val="32"/>
        </w:rPr>
      </w:pPr>
    </w:p>
    <w:p w14:paraId="050D7214">
      <w:pPr>
        <w:pStyle w:val="64"/>
        <w:ind w:firstLine="420"/>
      </w:pPr>
    </w:p>
    <w:p w14:paraId="6FDE0ECD">
      <w:pPr>
        <w:spacing w:line="400" w:lineRule="exact"/>
        <w:jc w:val="center"/>
        <w:outlineLvl w:val="0"/>
        <w:rPr>
          <w:rFonts w:ascii="宋体" w:cs="宋体"/>
          <w:sz w:val="32"/>
        </w:rPr>
      </w:pPr>
    </w:p>
    <w:p w14:paraId="34EACEC0">
      <w:pPr>
        <w:pStyle w:val="64"/>
        <w:ind w:firstLine="420"/>
      </w:pPr>
    </w:p>
    <w:p w14:paraId="2F0A7464">
      <w:pPr>
        <w:snapToGrid w:val="0"/>
        <w:spacing w:line="400" w:lineRule="atLeast"/>
        <w:jc w:val="center"/>
        <w:rPr>
          <w:rFonts w:ascii="宋体" w:cs="宋体"/>
          <w:b/>
          <w:bCs/>
          <w:sz w:val="36"/>
          <w:szCs w:val="44"/>
        </w:rPr>
      </w:pPr>
      <w:r>
        <w:rPr>
          <w:rFonts w:hint="eastAsia" w:ascii="宋体" w:hAnsi="宋体" w:cs="宋体"/>
          <w:b/>
          <w:bCs/>
          <w:sz w:val="36"/>
          <w:szCs w:val="44"/>
        </w:rPr>
        <w:t>目    录</w:t>
      </w:r>
    </w:p>
    <w:p w14:paraId="3F1FF599">
      <w:pPr>
        <w:snapToGrid w:val="0"/>
        <w:spacing w:line="400" w:lineRule="atLeast"/>
        <w:jc w:val="center"/>
        <w:rPr>
          <w:rFonts w:ascii="宋体" w:cs="宋体"/>
          <w:b/>
          <w:bCs/>
          <w:sz w:val="30"/>
          <w:szCs w:val="30"/>
        </w:rPr>
      </w:pPr>
    </w:p>
    <w:p w14:paraId="481DBD2F">
      <w:pPr>
        <w:snapToGrid w:val="0"/>
        <w:spacing w:line="480" w:lineRule="auto"/>
        <w:rPr>
          <w:rFonts w:ascii="宋体" w:cs="宋体"/>
          <w:sz w:val="28"/>
          <w:szCs w:val="30"/>
        </w:rPr>
      </w:pPr>
    </w:p>
    <w:p w14:paraId="37EF7C4E">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第一篇  竞争性磋商公告</w:t>
      </w:r>
    </w:p>
    <w:p w14:paraId="79809A11">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第二篇  供应商须知</w:t>
      </w:r>
    </w:p>
    <w:p w14:paraId="55A3874B">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第三篇  招标项目需求</w:t>
      </w:r>
    </w:p>
    <w:p w14:paraId="7D8A31AB">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第四篇  合同条款及前附表</w:t>
      </w:r>
    </w:p>
    <w:p w14:paraId="39A05CC4">
      <w:pPr>
        <w:snapToGrid w:val="0"/>
        <w:spacing w:line="480" w:lineRule="auto"/>
        <w:ind w:firstLine="560" w:firstLineChars="200"/>
        <w:jc w:val="left"/>
        <w:rPr>
          <w:rFonts w:ascii="宋体" w:hAnsi="宋体" w:cs="宋体"/>
          <w:sz w:val="28"/>
          <w:szCs w:val="28"/>
        </w:rPr>
      </w:pPr>
      <w:r>
        <w:rPr>
          <w:rFonts w:hint="eastAsia" w:ascii="宋体" w:hAnsi="宋体" w:cs="宋体"/>
          <w:sz w:val="28"/>
          <w:szCs w:val="28"/>
        </w:rPr>
        <w:t>第五篇  响应文件格式</w:t>
      </w:r>
    </w:p>
    <w:p w14:paraId="5813978E">
      <w:pPr>
        <w:pStyle w:val="64"/>
        <w:ind w:firstLine="420"/>
      </w:pPr>
    </w:p>
    <w:p w14:paraId="37A067B7">
      <w:pPr>
        <w:pStyle w:val="64"/>
        <w:ind w:firstLine="420"/>
      </w:pPr>
    </w:p>
    <w:p w14:paraId="1E7C21C0">
      <w:pPr>
        <w:pStyle w:val="64"/>
        <w:ind w:firstLine="420"/>
      </w:pPr>
    </w:p>
    <w:p w14:paraId="41CFD38E">
      <w:pPr>
        <w:pStyle w:val="64"/>
        <w:ind w:firstLine="420"/>
      </w:pPr>
    </w:p>
    <w:p w14:paraId="4778B65D">
      <w:pPr>
        <w:pStyle w:val="64"/>
        <w:ind w:firstLine="420"/>
      </w:pPr>
    </w:p>
    <w:p w14:paraId="6A0A575C">
      <w:pPr>
        <w:pStyle w:val="64"/>
        <w:ind w:firstLine="420"/>
      </w:pPr>
    </w:p>
    <w:p w14:paraId="1E74DCE1">
      <w:pPr>
        <w:pStyle w:val="64"/>
        <w:ind w:firstLine="420"/>
      </w:pPr>
    </w:p>
    <w:p w14:paraId="4C660ED1">
      <w:pPr>
        <w:pStyle w:val="64"/>
        <w:ind w:firstLine="420"/>
      </w:pPr>
    </w:p>
    <w:p w14:paraId="757B1A46">
      <w:pPr>
        <w:pStyle w:val="64"/>
        <w:ind w:firstLine="420"/>
      </w:pPr>
    </w:p>
    <w:p w14:paraId="02326D7B">
      <w:pPr>
        <w:pStyle w:val="64"/>
        <w:ind w:firstLine="420"/>
      </w:pPr>
    </w:p>
    <w:p w14:paraId="5EAEA17F">
      <w:pPr>
        <w:pStyle w:val="64"/>
        <w:ind w:firstLine="420"/>
      </w:pPr>
    </w:p>
    <w:p w14:paraId="110A7AF3">
      <w:pPr>
        <w:pStyle w:val="64"/>
        <w:ind w:firstLine="420"/>
      </w:pPr>
    </w:p>
    <w:p w14:paraId="25021356">
      <w:pPr>
        <w:pStyle w:val="64"/>
        <w:ind w:firstLine="420"/>
      </w:pPr>
    </w:p>
    <w:p w14:paraId="1FC086CE">
      <w:pPr>
        <w:pStyle w:val="64"/>
        <w:ind w:firstLine="420"/>
      </w:pPr>
    </w:p>
    <w:p w14:paraId="0B74CB60">
      <w:pPr>
        <w:pStyle w:val="64"/>
        <w:ind w:firstLine="420"/>
      </w:pPr>
    </w:p>
    <w:p w14:paraId="59F28CB9">
      <w:pPr>
        <w:pStyle w:val="64"/>
        <w:ind w:firstLine="420"/>
      </w:pPr>
    </w:p>
    <w:p w14:paraId="05EF460A">
      <w:pPr>
        <w:pStyle w:val="64"/>
        <w:ind w:firstLine="420"/>
      </w:pPr>
    </w:p>
    <w:p w14:paraId="7433FB3C">
      <w:pPr>
        <w:pStyle w:val="64"/>
        <w:ind w:firstLine="420"/>
      </w:pPr>
    </w:p>
    <w:p w14:paraId="12C6D6C6">
      <w:pPr>
        <w:pStyle w:val="64"/>
        <w:ind w:firstLine="420"/>
      </w:pPr>
    </w:p>
    <w:p w14:paraId="0446A9AC">
      <w:pPr>
        <w:spacing w:before="156" w:beforeLines="50"/>
        <w:ind w:firstLine="883" w:firstLineChars="200"/>
        <w:jc w:val="center"/>
        <w:rPr>
          <w:rFonts w:ascii="宋体" w:cs="宋体"/>
          <w:b/>
          <w:sz w:val="44"/>
        </w:rPr>
      </w:pPr>
      <w:r>
        <w:rPr>
          <w:rFonts w:hint="eastAsia" w:ascii="宋体" w:hAnsi="宋体" w:cs="宋体"/>
          <w:b/>
          <w:sz w:val="44"/>
        </w:rPr>
        <w:t>前   附  表</w:t>
      </w:r>
    </w:p>
    <w:tbl>
      <w:tblPr>
        <w:tblStyle w:val="46"/>
        <w:tblpPr w:leftFromText="180" w:rightFromText="180" w:vertAnchor="text" w:horzAnchor="page" w:tblpX="1454" w:tblpY="634"/>
        <w:tblOverlap w:val="never"/>
        <w:tblW w:w="9286" w:type="dxa"/>
        <w:tblInd w:w="0" w:type="dxa"/>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Layout w:type="autofit"/>
        <w:tblCellMar>
          <w:top w:w="0" w:type="dxa"/>
          <w:left w:w="108" w:type="dxa"/>
          <w:bottom w:w="0" w:type="dxa"/>
          <w:right w:w="108" w:type="dxa"/>
        </w:tblCellMar>
      </w:tblPr>
      <w:tblGrid>
        <w:gridCol w:w="925"/>
        <w:gridCol w:w="1793"/>
        <w:gridCol w:w="6568"/>
      </w:tblGrid>
      <w:tr w14:paraId="46B540F3">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blHeader/>
        </w:trPr>
        <w:tc>
          <w:tcPr>
            <w:tcW w:w="925" w:type="dxa"/>
            <w:tcBorders>
              <w:top w:val="single" w:color="auto" w:sz="6" w:space="0"/>
              <w:bottom w:val="single" w:color="auto" w:sz="6" w:space="0"/>
              <w:right w:val="single" w:color="auto" w:sz="6" w:space="0"/>
            </w:tcBorders>
            <w:vAlign w:val="center"/>
          </w:tcPr>
          <w:p w14:paraId="606F426C">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b/>
                <w:sz w:val="24"/>
                <w:szCs w:val="24"/>
              </w:rPr>
            </w:pPr>
            <w:r>
              <w:rPr>
                <w:rFonts w:hint="eastAsia" w:ascii="宋体" w:hAnsi="宋体" w:eastAsia="宋体" w:cs="宋体"/>
                <w:b/>
                <w:sz w:val="24"/>
                <w:szCs w:val="24"/>
                <w:lang w:val="zh-CN"/>
              </w:rPr>
              <w:t>项号</w:t>
            </w:r>
          </w:p>
        </w:tc>
        <w:tc>
          <w:tcPr>
            <w:tcW w:w="1793" w:type="dxa"/>
            <w:tcBorders>
              <w:top w:val="single" w:color="auto" w:sz="6" w:space="0"/>
              <w:left w:val="single" w:color="auto" w:sz="6" w:space="0"/>
              <w:bottom w:val="single" w:color="auto" w:sz="6" w:space="0"/>
              <w:right w:val="single" w:color="auto" w:sz="6" w:space="0"/>
            </w:tcBorders>
            <w:vAlign w:val="center"/>
          </w:tcPr>
          <w:p w14:paraId="4CC2E25C">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b/>
                <w:sz w:val="24"/>
                <w:szCs w:val="24"/>
                <w:lang w:val="zh-CN"/>
              </w:rPr>
            </w:pPr>
            <w:r>
              <w:rPr>
                <w:rFonts w:hint="eastAsia" w:ascii="宋体" w:hAnsi="宋体" w:eastAsia="宋体" w:cs="宋体"/>
                <w:b/>
                <w:sz w:val="24"/>
                <w:szCs w:val="24"/>
                <w:lang w:val="zh-CN"/>
              </w:rPr>
              <w:t>名称</w:t>
            </w:r>
          </w:p>
        </w:tc>
        <w:tc>
          <w:tcPr>
            <w:tcW w:w="6568" w:type="dxa"/>
            <w:tcBorders>
              <w:top w:val="single" w:color="auto" w:sz="6" w:space="0"/>
              <w:left w:val="single" w:color="auto" w:sz="6" w:space="0"/>
              <w:bottom w:val="single" w:color="auto" w:sz="6" w:space="0"/>
            </w:tcBorders>
            <w:vAlign w:val="center"/>
          </w:tcPr>
          <w:p w14:paraId="0F8072A9">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b/>
                <w:sz w:val="24"/>
                <w:szCs w:val="24"/>
              </w:rPr>
            </w:pPr>
            <w:r>
              <w:rPr>
                <w:rFonts w:hint="eastAsia" w:ascii="宋体" w:hAnsi="宋体" w:eastAsia="宋体" w:cs="宋体"/>
                <w:b/>
                <w:sz w:val="24"/>
                <w:szCs w:val="24"/>
                <w:lang w:val="zh-CN"/>
              </w:rPr>
              <w:t>内容</w:t>
            </w:r>
          </w:p>
        </w:tc>
      </w:tr>
      <w:tr w14:paraId="15B78EBA">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50775F46">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1</w:t>
            </w:r>
          </w:p>
        </w:tc>
        <w:tc>
          <w:tcPr>
            <w:tcW w:w="1793" w:type="dxa"/>
            <w:tcBorders>
              <w:top w:val="single" w:color="auto" w:sz="6" w:space="0"/>
              <w:left w:val="single" w:color="auto" w:sz="6" w:space="0"/>
              <w:bottom w:val="single" w:color="auto" w:sz="6" w:space="0"/>
              <w:right w:val="single" w:color="auto" w:sz="6" w:space="0"/>
            </w:tcBorders>
            <w:vAlign w:val="center"/>
          </w:tcPr>
          <w:p w14:paraId="7EAF697E">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采购人</w:t>
            </w:r>
          </w:p>
        </w:tc>
        <w:tc>
          <w:tcPr>
            <w:tcW w:w="6568" w:type="dxa"/>
            <w:tcBorders>
              <w:top w:val="single" w:color="auto" w:sz="6" w:space="0"/>
              <w:left w:val="single" w:color="auto" w:sz="6" w:space="0"/>
              <w:bottom w:val="single" w:color="auto" w:sz="6" w:space="0"/>
            </w:tcBorders>
            <w:vAlign w:val="center"/>
          </w:tcPr>
          <w:p w14:paraId="4AFD41A3">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江苏盱眙农村商业银行股份有限公司</w:t>
            </w:r>
          </w:p>
        </w:tc>
      </w:tr>
      <w:tr w14:paraId="5D79FA5E">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1A45C966">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2</w:t>
            </w:r>
          </w:p>
        </w:tc>
        <w:tc>
          <w:tcPr>
            <w:tcW w:w="1793" w:type="dxa"/>
            <w:tcBorders>
              <w:top w:val="single" w:color="auto" w:sz="6" w:space="0"/>
              <w:left w:val="single" w:color="auto" w:sz="6" w:space="0"/>
              <w:bottom w:val="single" w:color="auto" w:sz="6" w:space="0"/>
              <w:right w:val="single" w:color="auto" w:sz="6" w:space="0"/>
            </w:tcBorders>
            <w:vAlign w:val="center"/>
          </w:tcPr>
          <w:p w14:paraId="1181DE60">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采购代理机构</w:t>
            </w:r>
          </w:p>
        </w:tc>
        <w:tc>
          <w:tcPr>
            <w:tcW w:w="6568" w:type="dxa"/>
            <w:tcBorders>
              <w:top w:val="single" w:color="auto" w:sz="6" w:space="0"/>
              <w:left w:val="single" w:color="auto" w:sz="6" w:space="0"/>
              <w:bottom w:val="single" w:color="auto" w:sz="6" w:space="0"/>
            </w:tcBorders>
            <w:vAlign w:val="center"/>
          </w:tcPr>
          <w:p w14:paraId="1E93B390">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中企华建友工程管理有限公司</w:t>
            </w:r>
          </w:p>
        </w:tc>
      </w:tr>
      <w:tr w14:paraId="2D803A30">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24604845">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3</w:t>
            </w:r>
          </w:p>
        </w:tc>
        <w:tc>
          <w:tcPr>
            <w:tcW w:w="1793" w:type="dxa"/>
            <w:tcBorders>
              <w:top w:val="single" w:color="auto" w:sz="6" w:space="0"/>
              <w:left w:val="single" w:color="auto" w:sz="6" w:space="0"/>
              <w:bottom w:val="single" w:color="auto" w:sz="6" w:space="0"/>
              <w:right w:val="single" w:color="auto" w:sz="6" w:space="0"/>
            </w:tcBorders>
            <w:vAlign w:val="center"/>
          </w:tcPr>
          <w:p w14:paraId="6B17F5B0">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项目编号</w:t>
            </w:r>
          </w:p>
        </w:tc>
        <w:tc>
          <w:tcPr>
            <w:tcW w:w="6568" w:type="dxa"/>
            <w:tcBorders>
              <w:top w:val="single" w:color="auto" w:sz="6" w:space="0"/>
              <w:left w:val="single" w:color="auto" w:sz="6" w:space="0"/>
              <w:bottom w:val="single" w:color="auto" w:sz="6" w:space="0"/>
            </w:tcBorders>
            <w:vAlign w:val="center"/>
          </w:tcPr>
          <w:p w14:paraId="01679725">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XSYC-2025-1-036</w:t>
            </w:r>
          </w:p>
        </w:tc>
      </w:tr>
      <w:tr w14:paraId="5CBA6CD0">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01382891">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4</w:t>
            </w:r>
          </w:p>
        </w:tc>
        <w:tc>
          <w:tcPr>
            <w:tcW w:w="1793" w:type="dxa"/>
            <w:tcBorders>
              <w:top w:val="single" w:color="auto" w:sz="6" w:space="0"/>
              <w:left w:val="single" w:color="auto" w:sz="6" w:space="0"/>
              <w:bottom w:val="single" w:color="auto" w:sz="6" w:space="0"/>
              <w:right w:val="single" w:color="auto" w:sz="6" w:space="0"/>
            </w:tcBorders>
            <w:vAlign w:val="center"/>
          </w:tcPr>
          <w:p w14:paraId="1057B141">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招标内容</w:t>
            </w:r>
          </w:p>
        </w:tc>
        <w:tc>
          <w:tcPr>
            <w:tcW w:w="6568" w:type="dxa"/>
            <w:tcBorders>
              <w:top w:val="single" w:color="auto" w:sz="6" w:space="0"/>
              <w:left w:val="single" w:color="auto" w:sz="6" w:space="0"/>
              <w:bottom w:val="single" w:color="auto" w:sz="6" w:space="0"/>
            </w:tcBorders>
            <w:vAlign w:val="center"/>
          </w:tcPr>
          <w:p w14:paraId="703B7731">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lang w:eastAsia="zh-CN"/>
              </w:rPr>
            </w:pPr>
            <w:r>
              <w:rPr>
                <w:rFonts w:hint="eastAsia" w:ascii="宋体" w:hAnsi="宋体" w:eastAsia="宋体" w:cs="宋体"/>
                <w:sz w:val="24"/>
                <w:szCs w:val="24"/>
                <w:lang w:eastAsia="zh-CN"/>
              </w:rPr>
              <w:t>不动产抵押及其他抵质押</w:t>
            </w:r>
            <w:r>
              <w:rPr>
                <w:rFonts w:hint="eastAsia" w:ascii="宋体" w:hAnsi="宋体" w:eastAsia="宋体" w:cs="宋体"/>
                <w:sz w:val="24"/>
                <w:szCs w:val="24"/>
                <w:lang w:val="en-US" w:eastAsia="zh-CN"/>
              </w:rPr>
              <w:t>交易价格</w:t>
            </w:r>
            <w:r>
              <w:rPr>
                <w:rFonts w:hint="eastAsia" w:ascii="宋体" w:hAnsi="宋体" w:eastAsia="宋体" w:cs="宋体"/>
                <w:sz w:val="24"/>
                <w:szCs w:val="24"/>
                <w:lang w:eastAsia="zh-CN"/>
              </w:rPr>
              <w:t>评估</w:t>
            </w:r>
            <w:r>
              <w:rPr>
                <w:rFonts w:hint="eastAsia" w:ascii="宋体" w:hAnsi="宋体" w:eastAsia="宋体" w:cs="宋体"/>
                <w:sz w:val="24"/>
                <w:szCs w:val="24"/>
                <w:lang w:val="en-US" w:eastAsia="zh-CN"/>
              </w:rPr>
              <w:t>服务项目</w:t>
            </w:r>
          </w:p>
        </w:tc>
      </w:tr>
      <w:tr w14:paraId="06B56F93">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5460FE76">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rPr>
            </w:pPr>
            <w:r>
              <w:rPr>
                <w:rFonts w:hint="eastAsia" w:ascii="宋体" w:hAnsi="宋体" w:eastAsia="宋体" w:cs="宋体"/>
                <w:sz w:val="24"/>
                <w:szCs w:val="24"/>
              </w:rPr>
              <w:t>5</w:t>
            </w:r>
          </w:p>
        </w:tc>
        <w:tc>
          <w:tcPr>
            <w:tcW w:w="1793" w:type="dxa"/>
            <w:tcBorders>
              <w:top w:val="single" w:color="auto" w:sz="6" w:space="0"/>
              <w:left w:val="single" w:color="auto" w:sz="6" w:space="0"/>
              <w:bottom w:val="single" w:color="auto" w:sz="6" w:space="0"/>
              <w:right w:val="single" w:color="auto" w:sz="6" w:space="0"/>
            </w:tcBorders>
            <w:vAlign w:val="center"/>
          </w:tcPr>
          <w:p w14:paraId="6B20036B">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采购预算价</w:t>
            </w:r>
          </w:p>
        </w:tc>
        <w:tc>
          <w:tcPr>
            <w:tcW w:w="6568" w:type="dxa"/>
            <w:tcBorders>
              <w:top w:val="single" w:color="auto" w:sz="6" w:space="0"/>
              <w:left w:val="single" w:color="auto" w:sz="6" w:space="0"/>
              <w:bottom w:val="single" w:color="auto" w:sz="6" w:space="0"/>
            </w:tcBorders>
            <w:vAlign w:val="center"/>
          </w:tcPr>
          <w:p w14:paraId="1EAACBFA">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12</w:t>
            </w:r>
            <w:r>
              <w:rPr>
                <w:rFonts w:hint="eastAsia" w:ascii="宋体" w:hAnsi="宋体" w:eastAsia="宋体" w:cs="宋体"/>
                <w:sz w:val="24"/>
                <w:szCs w:val="24"/>
                <w:lang w:val="en-US" w:eastAsia="zh-CN"/>
              </w:rPr>
              <w:t>0.00</w:t>
            </w:r>
            <w:r>
              <w:rPr>
                <w:rFonts w:hint="eastAsia" w:ascii="宋体" w:hAnsi="宋体" w:eastAsia="宋体" w:cs="宋体"/>
                <w:sz w:val="24"/>
                <w:szCs w:val="24"/>
              </w:rPr>
              <w:t>万元</w:t>
            </w:r>
          </w:p>
        </w:tc>
      </w:tr>
      <w:tr w14:paraId="0ABE41E2">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2B1FF549">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w:t>
            </w:r>
          </w:p>
        </w:tc>
        <w:tc>
          <w:tcPr>
            <w:tcW w:w="1793" w:type="dxa"/>
            <w:tcBorders>
              <w:top w:val="single" w:color="auto" w:sz="6" w:space="0"/>
              <w:left w:val="single" w:color="auto" w:sz="6" w:space="0"/>
              <w:bottom w:val="single" w:color="auto" w:sz="6" w:space="0"/>
              <w:right w:val="single" w:color="auto" w:sz="6" w:space="0"/>
            </w:tcBorders>
            <w:vAlign w:val="center"/>
          </w:tcPr>
          <w:p w14:paraId="4360D14E">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最高限价</w:t>
            </w:r>
          </w:p>
        </w:tc>
        <w:tc>
          <w:tcPr>
            <w:tcW w:w="6568" w:type="dxa"/>
            <w:tcBorders>
              <w:top w:val="single" w:color="auto" w:sz="6" w:space="0"/>
              <w:left w:val="single" w:color="auto" w:sz="6" w:space="0"/>
              <w:bottom w:val="single" w:color="auto" w:sz="6" w:space="0"/>
            </w:tcBorders>
            <w:vAlign w:val="center"/>
          </w:tcPr>
          <w:p w14:paraId="3142F5DA">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12</w:t>
            </w:r>
            <w:r>
              <w:rPr>
                <w:rFonts w:hint="eastAsia" w:ascii="宋体" w:hAnsi="宋体" w:eastAsia="宋体" w:cs="宋体"/>
                <w:sz w:val="24"/>
                <w:szCs w:val="24"/>
                <w:lang w:val="en-US" w:eastAsia="zh-CN"/>
              </w:rPr>
              <w:t>0.00</w:t>
            </w:r>
            <w:r>
              <w:rPr>
                <w:rFonts w:hint="eastAsia" w:ascii="宋体" w:hAnsi="宋体" w:eastAsia="宋体" w:cs="宋体"/>
                <w:sz w:val="24"/>
                <w:szCs w:val="24"/>
              </w:rPr>
              <w:t>万元</w:t>
            </w:r>
          </w:p>
        </w:tc>
      </w:tr>
      <w:tr w14:paraId="755942FC">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57E57C14">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w:t>
            </w:r>
          </w:p>
        </w:tc>
        <w:tc>
          <w:tcPr>
            <w:tcW w:w="1793" w:type="dxa"/>
            <w:tcBorders>
              <w:top w:val="single" w:color="auto" w:sz="6" w:space="0"/>
              <w:left w:val="single" w:color="auto" w:sz="6" w:space="0"/>
              <w:bottom w:val="single" w:color="auto" w:sz="6" w:space="0"/>
              <w:right w:val="single" w:color="auto" w:sz="6" w:space="0"/>
            </w:tcBorders>
            <w:vAlign w:val="center"/>
          </w:tcPr>
          <w:p w14:paraId="4042A319">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服务期限</w:t>
            </w:r>
          </w:p>
        </w:tc>
        <w:tc>
          <w:tcPr>
            <w:tcW w:w="6568" w:type="dxa"/>
            <w:tcBorders>
              <w:top w:val="single" w:color="auto" w:sz="6" w:space="0"/>
              <w:left w:val="single" w:color="auto" w:sz="6" w:space="0"/>
              <w:bottom w:val="single" w:color="auto" w:sz="6" w:space="0"/>
            </w:tcBorders>
            <w:vAlign w:val="center"/>
          </w:tcPr>
          <w:p w14:paraId="3371B25E">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2年</w:t>
            </w:r>
          </w:p>
        </w:tc>
      </w:tr>
      <w:tr w14:paraId="79537E83">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4DBA7297">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w:t>
            </w:r>
          </w:p>
        </w:tc>
        <w:tc>
          <w:tcPr>
            <w:tcW w:w="1793" w:type="dxa"/>
            <w:tcBorders>
              <w:top w:val="single" w:color="auto" w:sz="6" w:space="0"/>
              <w:left w:val="single" w:color="auto" w:sz="6" w:space="0"/>
              <w:bottom w:val="single" w:color="auto" w:sz="6" w:space="0"/>
              <w:right w:val="single" w:color="auto" w:sz="6" w:space="0"/>
            </w:tcBorders>
            <w:vAlign w:val="center"/>
          </w:tcPr>
          <w:p w14:paraId="0120FA00">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投标有效期</w:t>
            </w:r>
          </w:p>
        </w:tc>
        <w:tc>
          <w:tcPr>
            <w:tcW w:w="6568" w:type="dxa"/>
            <w:tcBorders>
              <w:top w:val="single" w:color="auto" w:sz="6" w:space="0"/>
              <w:left w:val="single" w:color="auto" w:sz="6" w:space="0"/>
              <w:bottom w:val="single" w:color="auto" w:sz="6" w:space="0"/>
            </w:tcBorders>
            <w:vAlign w:val="center"/>
          </w:tcPr>
          <w:p w14:paraId="696D187B">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九十日历天</w:t>
            </w:r>
          </w:p>
        </w:tc>
      </w:tr>
      <w:tr w14:paraId="169DB5FA">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31EF42D2">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w:t>
            </w:r>
          </w:p>
        </w:tc>
        <w:tc>
          <w:tcPr>
            <w:tcW w:w="1793" w:type="dxa"/>
            <w:tcBorders>
              <w:top w:val="single" w:color="auto" w:sz="6" w:space="0"/>
              <w:left w:val="single" w:color="auto" w:sz="6" w:space="0"/>
              <w:bottom w:val="single" w:color="auto" w:sz="6" w:space="0"/>
              <w:right w:val="single" w:color="auto" w:sz="6" w:space="0"/>
            </w:tcBorders>
            <w:vAlign w:val="center"/>
          </w:tcPr>
          <w:p w14:paraId="4FAF0175">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投标保证金</w:t>
            </w:r>
          </w:p>
        </w:tc>
        <w:tc>
          <w:tcPr>
            <w:tcW w:w="6568" w:type="dxa"/>
            <w:tcBorders>
              <w:top w:val="single" w:color="auto" w:sz="6" w:space="0"/>
              <w:left w:val="single" w:color="auto" w:sz="6" w:space="0"/>
              <w:bottom w:val="single" w:color="auto" w:sz="6" w:space="0"/>
            </w:tcBorders>
            <w:vAlign w:val="center"/>
          </w:tcPr>
          <w:p w14:paraId="6B430021">
            <w:pPr>
              <w:keepNext w:val="0"/>
              <w:keepLines w:val="0"/>
              <w:pageBreakBefore w:val="0"/>
              <w:widowControl w:val="0"/>
              <w:kinsoku/>
              <w:wordWrap/>
              <w:overflowPunct/>
              <w:topLinePunct w:val="0"/>
              <w:bidi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无</w:t>
            </w:r>
          </w:p>
        </w:tc>
      </w:tr>
      <w:tr w14:paraId="7D7504DE">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190020F9">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w:t>
            </w:r>
          </w:p>
        </w:tc>
        <w:tc>
          <w:tcPr>
            <w:tcW w:w="1793" w:type="dxa"/>
            <w:tcBorders>
              <w:top w:val="single" w:color="auto" w:sz="6" w:space="0"/>
              <w:left w:val="single" w:color="auto" w:sz="6" w:space="0"/>
              <w:bottom w:val="single" w:color="auto" w:sz="6" w:space="0"/>
              <w:right w:val="single" w:color="auto" w:sz="6" w:space="0"/>
            </w:tcBorders>
            <w:vAlign w:val="center"/>
          </w:tcPr>
          <w:p w14:paraId="5A47C7C0">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履约保证金</w:t>
            </w:r>
          </w:p>
        </w:tc>
        <w:tc>
          <w:tcPr>
            <w:tcW w:w="6568" w:type="dxa"/>
            <w:tcBorders>
              <w:top w:val="single" w:color="auto" w:sz="6" w:space="0"/>
              <w:left w:val="single" w:color="auto" w:sz="6" w:space="0"/>
              <w:bottom w:val="single" w:color="auto" w:sz="6" w:space="0"/>
            </w:tcBorders>
            <w:vAlign w:val="center"/>
          </w:tcPr>
          <w:p w14:paraId="485C7F09">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本项目不收取</w:t>
            </w:r>
          </w:p>
        </w:tc>
      </w:tr>
      <w:tr w14:paraId="4B3284BA">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66373BC8">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11</w:t>
            </w:r>
          </w:p>
        </w:tc>
        <w:tc>
          <w:tcPr>
            <w:tcW w:w="1793" w:type="dxa"/>
            <w:tcBorders>
              <w:top w:val="single" w:color="auto" w:sz="6" w:space="0"/>
              <w:left w:val="single" w:color="auto" w:sz="6" w:space="0"/>
              <w:bottom w:val="single" w:color="auto" w:sz="6" w:space="0"/>
              <w:right w:val="single" w:color="auto" w:sz="6" w:space="0"/>
            </w:tcBorders>
            <w:vAlign w:val="center"/>
          </w:tcPr>
          <w:p w14:paraId="76E8CAED">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招标文件获取</w:t>
            </w:r>
          </w:p>
        </w:tc>
        <w:tc>
          <w:tcPr>
            <w:tcW w:w="6568" w:type="dxa"/>
            <w:tcBorders>
              <w:top w:val="single" w:color="auto" w:sz="6" w:space="0"/>
              <w:left w:val="single" w:color="auto" w:sz="6" w:space="0"/>
              <w:bottom w:val="single" w:color="auto" w:sz="6" w:space="0"/>
            </w:tcBorders>
            <w:vAlign w:val="center"/>
          </w:tcPr>
          <w:p w14:paraId="1E54F31F">
            <w:pPr>
              <w:keepNext w:val="0"/>
              <w:keepLines w:val="0"/>
              <w:pageBreakBefore w:val="0"/>
              <w:widowControl w:val="0"/>
              <w:kinsoku/>
              <w:wordWrap/>
              <w:overflowPunct/>
              <w:topLinePunct w:val="0"/>
              <w:bidi w:val="0"/>
              <w:snapToGrid w:val="0"/>
              <w:spacing w:line="440" w:lineRule="exact"/>
              <w:ind w:left="0" w:leftChars="0" w:right="0" w:rightChars="0" w:firstLine="0" w:firstLineChars="0"/>
              <w:jc w:val="left"/>
              <w:textAlignment w:val="auto"/>
              <w:rPr>
                <w:rFonts w:hint="eastAsia" w:ascii="宋体" w:hAnsi="宋体" w:eastAsia="宋体" w:cs="宋体"/>
                <w:sz w:val="24"/>
                <w:szCs w:val="24"/>
                <w:u w:val="single"/>
              </w:rPr>
            </w:pPr>
            <w:r>
              <w:rPr>
                <w:rFonts w:hint="eastAsia" w:ascii="宋体" w:hAnsi="宋体" w:eastAsia="宋体" w:cs="宋体"/>
                <w:kern w:val="0"/>
                <w:sz w:val="24"/>
                <w:szCs w:val="24"/>
                <w:shd w:val="clear" w:color="auto" w:fill="FFFFFF"/>
              </w:rPr>
              <w:t>见招标公告</w:t>
            </w:r>
          </w:p>
        </w:tc>
      </w:tr>
      <w:tr w14:paraId="355457C1">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6275D3DB">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2</w:t>
            </w:r>
          </w:p>
        </w:tc>
        <w:tc>
          <w:tcPr>
            <w:tcW w:w="1793" w:type="dxa"/>
            <w:tcBorders>
              <w:top w:val="single" w:color="auto" w:sz="6" w:space="0"/>
              <w:left w:val="single" w:color="auto" w:sz="6" w:space="0"/>
              <w:bottom w:val="single" w:color="auto" w:sz="6" w:space="0"/>
              <w:right w:val="single" w:color="auto" w:sz="6" w:space="0"/>
            </w:tcBorders>
            <w:vAlign w:val="center"/>
          </w:tcPr>
          <w:p w14:paraId="7BAA6103">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投标文件份数</w:t>
            </w:r>
          </w:p>
        </w:tc>
        <w:tc>
          <w:tcPr>
            <w:tcW w:w="6568" w:type="dxa"/>
            <w:tcBorders>
              <w:top w:val="single" w:color="auto" w:sz="6" w:space="0"/>
              <w:left w:val="single" w:color="auto" w:sz="6" w:space="0"/>
              <w:bottom w:val="single" w:color="auto" w:sz="6" w:space="0"/>
            </w:tcBorders>
            <w:vAlign w:val="center"/>
          </w:tcPr>
          <w:p w14:paraId="6BD027E8">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b/>
                <w:sz w:val="24"/>
                <w:szCs w:val="24"/>
              </w:rPr>
            </w:pPr>
            <w:r>
              <w:rPr>
                <w:rFonts w:hint="eastAsia" w:ascii="宋体" w:hAnsi="宋体" w:eastAsia="宋体" w:cs="宋体"/>
                <w:sz w:val="24"/>
                <w:szCs w:val="24"/>
              </w:rPr>
              <w:t>现场递交制作的纸质标书装订成册一正二副，密封装订，外密封套加盖单位公章注明项目名称、编号、投标单位名称 。未按要求密封递交的投标文件招标人不予接受。</w:t>
            </w:r>
          </w:p>
        </w:tc>
      </w:tr>
      <w:tr w14:paraId="4125E964">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527B3CFB">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3</w:t>
            </w:r>
          </w:p>
        </w:tc>
        <w:tc>
          <w:tcPr>
            <w:tcW w:w="1793" w:type="dxa"/>
            <w:tcBorders>
              <w:top w:val="single" w:color="auto" w:sz="6" w:space="0"/>
              <w:left w:val="single" w:color="auto" w:sz="6" w:space="0"/>
              <w:bottom w:val="single" w:color="auto" w:sz="6" w:space="0"/>
              <w:right w:val="single" w:color="auto" w:sz="6" w:space="0"/>
            </w:tcBorders>
            <w:vAlign w:val="center"/>
          </w:tcPr>
          <w:p w14:paraId="2DC0CA58">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b/>
                <w:sz w:val="24"/>
                <w:szCs w:val="24"/>
                <w:highlight w:val="none"/>
              </w:rPr>
            </w:pPr>
            <w:r>
              <w:rPr>
                <w:rFonts w:hint="eastAsia" w:ascii="宋体" w:hAnsi="宋体" w:eastAsia="宋体" w:cs="宋体"/>
                <w:sz w:val="24"/>
                <w:szCs w:val="24"/>
                <w:highlight w:val="none"/>
              </w:rPr>
              <w:t>开标时间</w:t>
            </w:r>
          </w:p>
        </w:tc>
        <w:tc>
          <w:tcPr>
            <w:tcW w:w="6568" w:type="dxa"/>
            <w:tcBorders>
              <w:top w:val="single" w:color="auto" w:sz="6" w:space="0"/>
              <w:left w:val="single" w:color="auto" w:sz="6" w:space="0"/>
              <w:bottom w:val="single" w:color="auto" w:sz="6" w:space="0"/>
            </w:tcBorders>
            <w:vAlign w:val="center"/>
          </w:tcPr>
          <w:p w14:paraId="40FDCDF2">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b/>
                <w:sz w:val="24"/>
                <w:szCs w:val="24"/>
                <w:highlight w:val="none"/>
              </w:rPr>
            </w:pPr>
            <w:r>
              <w:rPr>
                <w:rFonts w:hint="eastAsia" w:ascii="宋体" w:hAnsi="宋体" w:eastAsia="宋体" w:cs="宋体"/>
                <w:sz w:val="24"/>
                <w:szCs w:val="24"/>
                <w:highlight w:val="none"/>
              </w:rPr>
              <w:t>2025年12月</w:t>
            </w:r>
            <w:r>
              <w:rPr>
                <w:rFonts w:hint="eastAsia" w:ascii="宋体" w:hAnsi="宋体" w:cs="宋体"/>
                <w:sz w:val="24"/>
                <w:szCs w:val="24"/>
                <w:highlight w:val="none"/>
                <w:lang w:val="en-US" w:eastAsia="zh-CN"/>
              </w:rPr>
              <w:t>26</w:t>
            </w:r>
            <w:r>
              <w:rPr>
                <w:rFonts w:hint="eastAsia" w:ascii="宋体" w:hAnsi="宋体" w:eastAsia="宋体" w:cs="宋体"/>
                <w:sz w:val="24"/>
                <w:szCs w:val="24"/>
                <w:highlight w:val="none"/>
              </w:rPr>
              <w:t>日9时00分（北京时间）</w:t>
            </w:r>
          </w:p>
        </w:tc>
      </w:tr>
      <w:tr w14:paraId="5E732205">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3FCF4C0F">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4</w:t>
            </w:r>
          </w:p>
        </w:tc>
        <w:tc>
          <w:tcPr>
            <w:tcW w:w="1793" w:type="dxa"/>
            <w:tcBorders>
              <w:top w:val="single" w:color="auto" w:sz="6" w:space="0"/>
              <w:left w:val="single" w:color="auto" w:sz="6" w:space="0"/>
              <w:bottom w:val="single" w:color="auto" w:sz="6" w:space="0"/>
              <w:right w:val="single" w:color="auto" w:sz="6" w:space="0"/>
            </w:tcBorders>
            <w:vAlign w:val="center"/>
          </w:tcPr>
          <w:p w14:paraId="018184E6">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资质要求</w:t>
            </w:r>
          </w:p>
        </w:tc>
        <w:tc>
          <w:tcPr>
            <w:tcW w:w="6568" w:type="dxa"/>
            <w:tcBorders>
              <w:top w:val="single" w:color="auto" w:sz="6" w:space="0"/>
              <w:left w:val="single" w:color="auto" w:sz="6" w:space="0"/>
              <w:bottom w:val="single" w:color="auto" w:sz="6" w:space="0"/>
            </w:tcBorders>
            <w:vAlign w:val="center"/>
          </w:tcPr>
          <w:p w14:paraId="2520061F">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详见采购公告要求</w:t>
            </w:r>
          </w:p>
        </w:tc>
      </w:tr>
      <w:tr w14:paraId="15FD7C1B">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34523A61">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5</w:t>
            </w:r>
          </w:p>
        </w:tc>
        <w:tc>
          <w:tcPr>
            <w:tcW w:w="1793" w:type="dxa"/>
            <w:tcBorders>
              <w:top w:val="single" w:color="auto" w:sz="6" w:space="0"/>
              <w:left w:val="single" w:color="auto" w:sz="6" w:space="0"/>
              <w:bottom w:val="single" w:color="auto" w:sz="6" w:space="0"/>
              <w:right w:val="single" w:color="auto" w:sz="6" w:space="0"/>
            </w:tcBorders>
            <w:vAlign w:val="center"/>
          </w:tcPr>
          <w:p w14:paraId="2A643DA8">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评标方法</w:t>
            </w:r>
          </w:p>
        </w:tc>
        <w:tc>
          <w:tcPr>
            <w:tcW w:w="6568" w:type="dxa"/>
            <w:tcBorders>
              <w:top w:val="single" w:color="auto" w:sz="6" w:space="0"/>
              <w:left w:val="single" w:color="auto" w:sz="6" w:space="0"/>
              <w:bottom w:val="single" w:color="auto" w:sz="6" w:space="0"/>
            </w:tcBorders>
            <w:vAlign w:val="center"/>
          </w:tcPr>
          <w:p w14:paraId="50834F3F">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综合评分法</w:t>
            </w:r>
          </w:p>
        </w:tc>
      </w:tr>
      <w:tr w14:paraId="7883A5E4">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4E057417">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6</w:t>
            </w:r>
          </w:p>
        </w:tc>
        <w:tc>
          <w:tcPr>
            <w:tcW w:w="1793" w:type="dxa"/>
            <w:tcBorders>
              <w:top w:val="single" w:color="auto" w:sz="6" w:space="0"/>
              <w:left w:val="single" w:color="auto" w:sz="6" w:space="0"/>
              <w:bottom w:val="single" w:color="auto" w:sz="6" w:space="0"/>
              <w:right w:val="single" w:color="auto" w:sz="6" w:space="0"/>
            </w:tcBorders>
            <w:vAlign w:val="center"/>
          </w:tcPr>
          <w:p w14:paraId="1F66324B">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中标通知书领取时间、地点</w:t>
            </w:r>
          </w:p>
        </w:tc>
        <w:tc>
          <w:tcPr>
            <w:tcW w:w="6568" w:type="dxa"/>
            <w:tcBorders>
              <w:top w:val="single" w:color="auto" w:sz="6" w:space="0"/>
              <w:left w:val="single" w:color="auto" w:sz="6" w:space="0"/>
              <w:bottom w:val="single" w:color="auto" w:sz="6" w:space="0"/>
            </w:tcBorders>
            <w:vAlign w:val="center"/>
          </w:tcPr>
          <w:p w14:paraId="3F4F0D42">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中标结果公告发布后五个工作日内至招标代理单位领取</w:t>
            </w:r>
          </w:p>
        </w:tc>
      </w:tr>
      <w:tr w14:paraId="03528010">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41AF277D">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7</w:t>
            </w:r>
          </w:p>
        </w:tc>
        <w:tc>
          <w:tcPr>
            <w:tcW w:w="1793" w:type="dxa"/>
            <w:tcBorders>
              <w:top w:val="single" w:color="auto" w:sz="6" w:space="0"/>
              <w:left w:val="single" w:color="auto" w:sz="6" w:space="0"/>
              <w:bottom w:val="single" w:color="auto" w:sz="6" w:space="0"/>
              <w:right w:val="single" w:color="auto" w:sz="6" w:space="0"/>
            </w:tcBorders>
            <w:vAlign w:val="center"/>
          </w:tcPr>
          <w:p w14:paraId="36A8A8F8">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封套上应载明的信息</w:t>
            </w:r>
          </w:p>
        </w:tc>
        <w:tc>
          <w:tcPr>
            <w:tcW w:w="6568" w:type="dxa"/>
            <w:tcBorders>
              <w:top w:val="single" w:color="auto" w:sz="6" w:space="0"/>
              <w:left w:val="single" w:color="auto" w:sz="6" w:space="0"/>
              <w:bottom w:val="single" w:color="auto" w:sz="6" w:space="0"/>
            </w:tcBorders>
            <w:vAlign w:val="center"/>
          </w:tcPr>
          <w:p w14:paraId="6F50947B">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以招标文件格式中的封面格式为准</w:t>
            </w:r>
          </w:p>
        </w:tc>
      </w:tr>
      <w:tr w14:paraId="0A9C7792">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6378FF8C">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1</w:t>
            </w:r>
            <w:r>
              <w:rPr>
                <w:rFonts w:hint="eastAsia" w:ascii="宋体" w:hAnsi="宋体" w:eastAsia="宋体" w:cs="宋体"/>
                <w:sz w:val="24"/>
                <w:szCs w:val="24"/>
                <w:lang w:val="en-US" w:eastAsia="zh-CN"/>
              </w:rPr>
              <w:t>8</w:t>
            </w:r>
          </w:p>
        </w:tc>
        <w:tc>
          <w:tcPr>
            <w:tcW w:w="1793" w:type="dxa"/>
            <w:tcBorders>
              <w:top w:val="single" w:color="auto" w:sz="6" w:space="0"/>
              <w:left w:val="single" w:color="auto" w:sz="6" w:space="0"/>
              <w:bottom w:val="single" w:color="auto" w:sz="6" w:space="0"/>
              <w:right w:val="single" w:color="auto" w:sz="6" w:space="0"/>
            </w:tcBorders>
            <w:vAlign w:val="center"/>
          </w:tcPr>
          <w:p w14:paraId="51F07A4C">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default" w:ascii="宋体" w:hAnsi="宋体" w:eastAsia="宋体" w:cs="宋体"/>
                <w:sz w:val="24"/>
                <w:szCs w:val="24"/>
                <w:lang w:val="en-US" w:eastAsia="zh-CN"/>
              </w:rPr>
            </w:pPr>
            <w:r>
              <w:rPr>
                <w:rFonts w:hint="eastAsia" w:ascii="宋体" w:hAnsi="宋体" w:cs="宋体"/>
                <w:sz w:val="24"/>
                <w:szCs w:val="24"/>
                <w:lang w:val="en-US" w:eastAsia="zh-CN"/>
              </w:rPr>
              <w:t>代理费</w:t>
            </w:r>
          </w:p>
        </w:tc>
        <w:tc>
          <w:tcPr>
            <w:tcW w:w="6568" w:type="dxa"/>
            <w:tcBorders>
              <w:top w:val="single" w:color="auto" w:sz="6" w:space="0"/>
              <w:left w:val="single" w:color="auto" w:sz="6" w:space="0"/>
              <w:bottom w:val="single" w:color="auto" w:sz="6" w:space="0"/>
            </w:tcBorders>
            <w:vAlign w:val="center"/>
          </w:tcPr>
          <w:p w14:paraId="007A4D8F">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成交供应商</w:t>
            </w:r>
            <w:r>
              <w:rPr>
                <w:rFonts w:hint="eastAsia" w:ascii="宋体" w:hAnsi="宋体" w:eastAsia="宋体" w:cs="宋体"/>
                <w:sz w:val="24"/>
                <w:szCs w:val="24"/>
              </w:rPr>
              <w:t>在领取通知书时缴纳</w:t>
            </w:r>
            <w:r>
              <w:rPr>
                <w:rFonts w:hint="eastAsia" w:ascii="宋体" w:hAnsi="宋体" w:eastAsia="宋体" w:cs="宋体"/>
                <w:sz w:val="24"/>
                <w:szCs w:val="24"/>
                <w:lang w:val="en-US" w:eastAsia="zh-CN"/>
              </w:rPr>
              <w:t>2500元</w:t>
            </w:r>
            <w:r>
              <w:rPr>
                <w:rFonts w:hint="eastAsia" w:ascii="宋体" w:hAnsi="宋体" w:eastAsia="宋体" w:cs="宋体"/>
                <w:sz w:val="24"/>
                <w:szCs w:val="24"/>
              </w:rPr>
              <w:t>，投标单位充分考虑所有风险计入总价不单独立项</w:t>
            </w:r>
          </w:p>
        </w:tc>
      </w:tr>
      <w:tr w14:paraId="4791212B">
        <w:tblPrEx>
          <w:tblBorders>
            <w:top w:val="single" w:color="auto" w:sz="6" w:space="0"/>
            <w:left w:val="single" w:color="auto" w:sz="6" w:space="0"/>
            <w:bottom w:val="single" w:color="auto" w:sz="6" w:space="0"/>
            <w:right w:val="single" w:color="auto" w:sz="6" w:space="0"/>
            <w:insideH w:val="outset" w:color="auto" w:sz="6" w:space="0"/>
            <w:insideV w:val="outset" w:color="auto" w:sz="6" w:space="0"/>
          </w:tblBorders>
          <w:tblCellMar>
            <w:top w:w="0" w:type="dxa"/>
            <w:left w:w="108" w:type="dxa"/>
            <w:bottom w:w="0" w:type="dxa"/>
            <w:right w:w="108" w:type="dxa"/>
          </w:tblCellMar>
        </w:tblPrEx>
        <w:trPr>
          <w:trHeight w:val="0" w:hRule="atLeast"/>
        </w:trPr>
        <w:tc>
          <w:tcPr>
            <w:tcW w:w="925" w:type="dxa"/>
            <w:tcBorders>
              <w:top w:val="single" w:color="auto" w:sz="6" w:space="0"/>
              <w:bottom w:val="single" w:color="auto" w:sz="6" w:space="0"/>
              <w:right w:val="single" w:color="auto" w:sz="6" w:space="0"/>
            </w:tcBorders>
            <w:vAlign w:val="center"/>
          </w:tcPr>
          <w:p w14:paraId="156A8AE1">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center"/>
              <w:textAlignment w:val="auto"/>
              <w:rPr>
                <w:rFonts w:hint="default" w:ascii="宋体" w:hAnsi="宋体" w:eastAsia="宋体" w:cs="宋体"/>
                <w:sz w:val="24"/>
                <w:szCs w:val="24"/>
                <w:lang w:val="en-US" w:eastAsia="zh-CN"/>
              </w:rPr>
            </w:pPr>
            <w:r>
              <w:rPr>
                <w:rFonts w:hint="eastAsia" w:ascii="宋体" w:hAnsi="宋体" w:eastAsia="宋体" w:cs="宋体"/>
                <w:sz w:val="24"/>
                <w:szCs w:val="24"/>
                <w:lang w:val="en-US" w:eastAsia="zh-CN"/>
              </w:rPr>
              <w:t>19</w:t>
            </w:r>
          </w:p>
        </w:tc>
        <w:tc>
          <w:tcPr>
            <w:tcW w:w="1793" w:type="dxa"/>
            <w:tcBorders>
              <w:top w:val="single" w:color="auto" w:sz="6" w:space="0"/>
              <w:left w:val="single" w:color="auto" w:sz="6" w:space="0"/>
              <w:bottom w:val="single" w:color="auto" w:sz="6" w:space="0"/>
              <w:right w:val="single" w:color="auto" w:sz="6" w:space="0"/>
            </w:tcBorders>
            <w:vAlign w:val="center"/>
          </w:tcPr>
          <w:p w14:paraId="4B641159">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rPr>
            </w:pPr>
            <w:r>
              <w:rPr>
                <w:rFonts w:hint="eastAsia" w:ascii="宋体" w:hAnsi="宋体" w:eastAsia="宋体" w:cs="宋体"/>
                <w:sz w:val="24"/>
                <w:szCs w:val="24"/>
              </w:rPr>
              <w:t>其它要求</w:t>
            </w:r>
          </w:p>
        </w:tc>
        <w:tc>
          <w:tcPr>
            <w:tcW w:w="6568" w:type="dxa"/>
            <w:tcBorders>
              <w:top w:val="single" w:color="auto" w:sz="6" w:space="0"/>
              <w:left w:val="single" w:color="auto" w:sz="6" w:space="0"/>
              <w:bottom w:val="single" w:color="auto" w:sz="6" w:space="0"/>
            </w:tcBorders>
            <w:vAlign w:val="center"/>
          </w:tcPr>
          <w:p w14:paraId="00C033B2">
            <w:pPr>
              <w:keepNext w:val="0"/>
              <w:keepLines w:val="0"/>
              <w:pageBreakBefore w:val="0"/>
              <w:widowControl w:val="0"/>
              <w:kinsoku/>
              <w:wordWrap/>
              <w:overflowPunct/>
              <w:topLinePunct w:val="0"/>
              <w:autoSpaceDE w:val="0"/>
              <w:autoSpaceDN w:val="0"/>
              <w:bidi w:val="0"/>
              <w:adjustRightInd w:val="0"/>
              <w:snapToGrid w:val="0"/>
              <w:spacing w:line="440" w:lineRule="exact"/>
              <w:ind w:left="0" w:leftChars="0" w:right="0" w:rightChars="0" w:firstLine="0" w:firstLineChars="0"/>
              <w:jc w:val="left"/>
              <w:textAlignment w:val="auto"/>
              <w:rPr>
                <w:rFonts w:hint="eastAsia" w:ascii="宋体" w:hAnsi="宋体" w:eastAsia="宋体" w:cs="宋体"/>
                <w:sz w:val="24"/>
                <w:szCs w:val="24"/>
                <w:lang w:eastAsia="zh-CN"/>
              </w:rPr>
            </w:pPr>
            <w:r>
              <w:rPr>
                <w:rFonts w:hint="eastAsia" w:ascii="宋体" w:hAnsi="宋体" w:eastAsia="宋体" w:cs="宋体"/>
                <w:sz w:val="24"/>
                <w:szCs w:val="24"/>
              </w:rPr>
              <w:t>潜在投标单位仅容许一名代表（法定代表人或授权委托人）参加开标会议，其它人员不得进场。</w:t>
            </w:r>
          </w:p>
        </w:tc>
      </w:tr>
    </w:tbl>
    <w:p w14:paraId="0386BF04">
      <w:pPr>
        <w:pStyle w:val="23"/>
        <w:widowControl/>
        <w:ind w:firstLine="602" w:firstLineChars="200"/>
        <w:jc w:val="center"/>
        <w:rPr>
          <w:rFonts w:hAnsi="Times New Roman" w:cs="宋体"/>
          <w:b/>
          <w:sz w:val="28"/>
          <w:szCs w:val="28"/>
        </w:rPr>
      </w:pPr>
      <w:r>
        <w:rPr>
          <w:rFonts w:cs="宋体"/>
          <w:b/>
          <w:sz w:val="30"/>
          <w:szCs w:val="30"/>
        </w:rPr>
        <w:br w:type="page"/>
      </w:r>
    </w:p>
    <w:p w14:paraId="293BADB6">
      <w:pPr>
        <w:numPr>
          <w:ilvl w:val="0"/>
          <w:numId w:val="3"/>
        </w:numPr>
        <w:tabs>
          <w:tab w:val="left" w:pos="1200"/>
        </w:tabs>
        <w:snapToGrid w:val="0"/>
        <w:spacing w:line="380" w:lineRule="exact"/>
        <w:ind w:firstLine="551" w:firstLineChars="196"/>
        <w:jc w:val="center"/>
        <w:outlineLvl w:val="0"/>
        <w:rPr>
          <w:rFonts w:ascii="宋体" w:hAnsi="宋体" w:cs="宋体"/>
          <w:b/>
          <w:bCs/>
          <w:kern w:val="0"/>
          <w:sz w:val="28"/>
          <w:szCs w:val="28"/>
          <w:lang w:val="zh-CN"/>
        </w:rPr>
      </w:pPr>
      <w:bookmarkStart w:id="1" w:name="OLE_LINK1"/>
      <w:r>
        <w:rPr>
          <w:rFonts w:hint="eastAsia" w:ascii="宋体" w:cs="宋体"/>
          <w:b/>
          <w:sz w:val="28"/>
          <w:szCs w:val="28"/>
          <w:lang w:eastAsia="zh-CN"/>
        </w:rPr>
        <w:t>江苏盱眙农村商业银行不动产抵押及其他抵质押交易价格评估服务项目</w:t>
      </w:r>
      <w:r>
        <w:rPr>
          <w:rFonts w:ascii="宋体" w:cs="宋体"/>
          <w:b/>
          <w:sz w:val="28"/>
          <w:szCs w:val="28"/>
        </w:rPr>
        <w:t>竞争性磋商</w:t>
      </w:r>
      <w:r>
        <w:rPr>
          <w:rFonts w:hint="eastAsia" w:ascii="宋体" w:hAnsi="宋体" w:cs="宋体"/>
          <w:b/>
          <w:bCs/>
          <w:kern w:val="0"/>
          <w:sz w:val="28"/>
          <w:szCs w:val="28"/>
          <w:lang w:val="zh-CN"/>
        </w:rPr>
        <w:t>公告</w:t>
      </w:r>
    </w:p>
    <w:p w14:paraId="7183F189">
      <w:pPr>
        <w:widowControl/>
        <w:spacing w:line="380" w:lineRule="exact"/>
        <w:ind w:firstLine="482" w:firstLineChars="200"/>
        <w:jc w:val="center"/>
        <w:rPr>
          <w:rFonts w:hint="eastAsia" w:ascii="宋体" w:hAnsi="宋体" w:eastAsia="宋体" w:cs="宋体"/>
          <w:b/>
          <w:bCs/>
          <w:kern w:val="0"/>
          <w:sz w:val="24"/>
          <w:lang w:val="en-US" w:eastAsia="zh-CN"/>
        </w:rPr>
      </w:pPr>
      <w:bookmarkStart w:id="2" w:name="OLE_LINK6"/>
      <w:bookmarkStart w:id="3" w:name="_Hlk38804520"/>
      <w:r>
        <w:rPr>
          <w:rFonts w:hint="eastAsia" w:ascii="宋体" w:hAnsi="宋体" w:cs="宋体"/>
          <w:b/>
          <w:bCs/>
          <w:kern w:val="0"/>
          <w:sz w:val="24"/>
          <w:lang w:val="zh-CN"/>
        </w:rPr>
        <w:t>项目编号：XSYC-2025-1-036</w:t>
      </w:r>
    </w:p>
    <w:bookmarkEnd w:id="2"/>
    <w:p w14:paraId="6DD60D7A">
      <w:pPr>
        <w:pStyle w:val="2"/>
        <w:keepNext w:val="0"/>
        <w:keepLines w:val="0"/>
        <w:tabs>
          <w:tab w:val="left" w:pos="0"/>
          <w:tab w:val="left" w:pos="3165"/>
          <w:tab w:val="center" w:pos="4153"/>
        </w:tabs>
        <w:autoSpaceDE w:val="0"/>
        <w:autoSpaceDN w:val="0"/>
        <w:adjustRightInd w:val="0"/>
        <w:spacing w:before="0" w:after="0" w:line="380" w:lineRule="exact"/>
        <w:jc w:val="left"/>
        <w:rPr>
          <w:rFonts w:ascii="宋体" w:hAnsi="宋体" w:cs="宋体"/>
          <w:b w:val="0"/>
          <w:bCs w:val="0"/>
          <w:kern w:val="2"/>
          <w:sz w:val="24"/>
          <w:szCs w:val="24"/>
        </w:rPr>
      </w:pPr>
      <w:r>
        <w:rPr>
          <w:rFonts w:hint="eastAsia" w:ascii="宋体" w:hAnsi="宋体" w:cs="宋体"/>
          <w:b w:val="0"/>
          <w:bCs w:val="0"/>
          <w:kern w:val="2"/>
          <w:sz w:val="24"/>
          <w:szCs w:val="24"/>
        </w:rPr>
        <w:t>项目概况</w:t>
      </w:r>
    </w:p>
    <w:p w14:paraId="47CFF323">
      <w:pPr>
        <w:pBdr>
          <w:top w:val="single" w:color="auto" w:sz="4" w:space="1"/>
          <w:left w:val="single" w:color="auto" w:sz="4" w:space="4"/>
          <w:bottom w:val="single" w:color="auto" w:sz="4" w:space="1"/>
          <w:right w:val="single" w:color="auto" w:sz="4" w:space="4"/>
        </w:pBdr>
        <w:spacing w:line="380" w:lineRule="exact"/>
        <w:ind w:firstLine="480" w:firstLineChars="200"/>
        <w:rPr>
          <w:rFonts w:ascii="宋体" w:hAnsi="宋体" w:cs="宋体"/>
          <w:sz w:val="24"/>
        </w:rPr>
      </w:pPr>
      <w:r>
        <w:rPr>
          <w:rFonts w:hint="eastAsia" w:ascii="宋体" w:hAnsi="宋体" w:cs="宋体"/>
          <w:sz w:val="24"/>
          <w:lang w:eastAsia="zh-CN"/>
        </w:rPr>
        <w:t>江苏盱眙农村商业银行不动产抵押及其他抵质押交易价格评估服务项目</w:t>
      </w:r>
      <w:r>
        <w:rPr>
          <w:rFonts w:hint="eastAsia" w:ascii="宋体" w:hAnsi="宋体" w:cs="宋体"/>
          <w:sz w:val="24"/>
        </w:rPr>
        <w:t>竞争性磋商(采购标的) 招标项目的潜在投标人应在网站下载获取招标文件。</w:t>
      </w:r>
    </w:p>
    <w:p w14:paraId="0FAF5C43">
      <w:pPr>
        <w:shd w:val="clear" w:color="auto" w:fill="FFFFFF"/>
        <w:spacing w:line="380" w:lineRule="exact"/>
        <w:ind w:firstLine="560"/>
        <w:rPr>
          <w:rFonts w:ascii="宋体" w:hAnsi="宋体" w:cs="宋体"/>
          <w:sz w:val="24"/>
        </w:rPr>
      </w:pPr>
      <w:r>
        <w:rPr>
          <w:rFonts w:hint="eastAsia" w:ascii="宋体" w:hAnsi="宋体" w:cs="宋体"/>
          <w:sz w:val="24"/>
        </w:rPr>
        <w:t>注：投标人须持续关注</w:t>
      </w:r>
      <w:r>
        <w:rPr>
          <w:rFonts w:hint="eastAsia" w:ascii="宋体" w:hAnsi="宋体" w:cs="宋体"/>
          <w:sz w:val="24"/>
          <w:u w:val="single"/>
        </w:rPr>
        <w:t>电子数据</w:t>
      </w:r>
      <w:r>
        <w:rPr>
          <w:rFonts w:hint="eastAsia" w:ascii="宋体" w:hAnsi="宋体" w:cs="宋体"/>
          <w:sz w:val="24"/>
        </w:rPr>
        <w:t>发布的信息（含更正、修改等信息），否则产生的后果由投标人自行承担。</w:t>
      </w:r>
    </w:p>
    <w:p w14:paraId="557321F2">
      <w:pPr>
        <w:pStyle w:val="3"/>
        <w:keepNext w:val="0"/>
        <w:keepLines w:val="0"/>
        <w:spacing w:before="0" w:after="0" w:line="380" w:lineRule="exact"/>
        <w:ind w:firstLine="480" w:firstLineChars="200"/>
        <w:rPr>
          <w:rFonts w:ascii="宋体" w:hAnsi="宋体" w:eastAsia="宋体" w:cs="宋体"/>
          <w:b w:val="0"/>
          <w:sz w:val="24"/>
          <w:szCs w:val="24"/>
        </w:rPr>
      </w:pPr>
      <w:bookmarkStart w:id="4" w:name="_Toc28359089"/>
      <w:bookmarkStart w:id="5" w:name="_Toc35393629"/>
      <w:bookmarkStart w:id="6" w:name="_Toc28359012"/>
      <w:bookmarkStart w:id="7" w:name="_Toc35393798"/>
      <w:r>
        <w:rPr>
          <w:rFonts w:hint="eastAsia" w:ascii="宋体" w:hAnsi="宋体" w:eastAsia="宋体" w:cs="宋体"/>
          <w:b w:val="0"/>
          <w:sz w:val="24"/>
          <w:szCs w:val="24"/>
        </w:rPr>
        <w:t>一、项目基本情况</w:t>
      </w:r>
      <w:bookmarkEnd w:id="4"/>
      <w:bookmarkEnd w:id="5"/>
      <w:bookmarkEnd w:id="6"/>
      <w:bookmarkEnd w:id="7"/>
    </w:p>
    <w:p w14:paraId="3CEA362D">
      <w:pPr>
        <w:spacing w:line="380" w:lineRule="exact"/>
        <w:ind w:firstLine="480" w:firstLineChars="200"/>
        <w:rPr>
          <w:rFonts w:hint="eastAsia" w:ascii="宋体" w:hAnsi="宋体" w:eastAsia="宋体" w:cs="宋体"/>
          <w:sz w:val="24"/>
          <w:lang w:val="en-US" w:eastAsia="zh-CN"/>
        </w:rPr>
      </w:pPr>
      <w:r>
        <w:rPr>
          <w:rFonts w:hint="eastAsia" w:ascii="宋体" w:hAnsi="宋体" w:cs="宋体"/>
          <w:sz w:val="24"/>
        </w:rPr>
        <w:t>项目编号</w:t>
      </w:r>
      <w:r>
        <w:rPr>
          <w:rFonts w:hint="eastAsia" w:ascii="宋体" w:hAnsi="宋体" w:cs="宋体"/>
          <w:i/>
          <w:iCs/>
          <w:sz w:val="24"/>
        </w:rPr>
        <w:t xml:space="preserve"> </w:t>
      </w:r>
      <w:r>
        <w:rPr>
          <w:rFonts w:hint="eastAsia" w:ascii="宋体" w:hAnsi="宋体" w:cs="宋体"/>
          <w:sz w:val="24"/>
        </w:rPr>
        <w:t>：</w:t>
      </w:r>
      <w:r>
        <w:rPr>
          <w:rFonts w:hint="eastAsia" w:ascii="宋体" w:hAnsi="宋体" w:cs="宋体"/>
          <w:sz w:val="24"/>
          <w:lang w:eastAsia="zh-CN"/>
        </w:rPr>
        <w:t>XSYC-2025-1-036</w:t>
      </w:r>
    </w:p>
    <w:p w14:paraId="002D4075">
      <w:pPr>
        <w:spacing w:line="380" w:lineRule="exact"/>
        <w:ind w:firstLine="480" w:firstLineChars="200"/>
        <w:rPr>
          <w:rFonts w:hint="eastAsia" w:ascii="宋体" w:hAnsi="宋体" w:eastAsia="宋体" w:cs="宋体"/>
          <w:sz w:val="24"/>
          <w:u w:val="single"/>
          <w:lang w:eastAsia="zh-CN"/>
        </w:rPr>
      </w:pPr>
      <w:r>
        <w:rPr>
          <w:rFonts w:hint="eastAsia" w:ascii="宋体" w:hAnsi="宋体" w:cs="宋体"/>
          <w:sz w:val="24"/>
        </w:rPr>
        <w:t>项目名称：</w:t>
      </w:r>
      <w:r>
        <w:rPr>
          <w:rFonts w:hint="eastAsia" w:ascii="宋体" w:hAnsi="宋体" w:cs="宋体"/>
          <w:sz w:val="24"/>
          <w:lang w:eastAsia="zh-CN"/>
        </w:rPr>
        <w:t>江苏盱眙农村商业银行不动产抵押及其他抵质押交易价格评估服务项目</w:t>
      </w:r>
    </w:p>
    <w:p w14:paraId="630E6F64">
      <w:pPr>
        <w:spacing w:line="380" w:lineRule="exact"/>
        <w:ind w:firstLine="480" w:firstLineChars="200"/>
        <w:rPr>
          <w:rFonts w:ascii="宋体" w:hAnsi="宋体" w:cs="宋体"/>
          <w:sz w:val="24"/>
        </w:rPr>
      </w:pPr>
      <w:r>
        <w:rPr>
          <w:rFonts w:hint="eastAsia" w:ascii="宋体" w:hAnsi="宋体" w:cs="宋体"/>
          <w:sz w:val="24"/>
        </w:rPr>
        <w:t>采购方式：□竞争性谈判☑竞争性磋商 □询价</w:t>
      </w:r>
    </w:p>
    <w:p w14:paraId="3BD43396">
      <w:pPr>
        <w:spacing w:line="380" w:lineRule="exact"/>
        <w:ind w:firstLine="480" w:firstLineChars="200"/>
        <w:rPr>
          <w:rFonts w:ascii="宋体" w:hAnsi="宋体" w:cs="宋体"/>
          <w:sz w:val="24"/>
        </w:rPr>
      </w:pPr>
      <w:r>
        <w:rPr>
          <w:rFonts w:hint="eastAsia" w:ascii="宋体" w:hAnsi="宋体" w:cs="宋体"/>
          <w:sz w:val="24"/>
        </w:rPr>
        <w:t>预算金额：</w:t>
      </w:r>
      <w:r>
        <w:rPr>
          <w:rFonts w:hint="eastAsia" w:ascii="宋体" w:hAnsi="宋体" w:cs="宋体"/>
          <w:sz w:val="24"/>
          <w:lang w:eastAsia="zh-CN"/>
        </w:rPr>
        <w:t>120.00万</w:t>
      </w:r>
      <w:r>
        <w:rPr>
          <w:rFonts w:hint="eastAsia" w:ascii="宋体" w:hAnsi="宋体" w:cs="宋体"/>
          <w:sz w:val="24"/>
        </w:rPr>
        <w:t>元</w:t>
      </w:r>
    </w:p>
    <w:p w14:paraId="56CBC4B4">
      <w:pPr>
        <w:spacing w:line="380" w:lineRule="exact"/>
        <w:ind w:firstLine="480" w:firstLineChars="200"/>
        <w:rPr>
          <w:rFonts w:ascii="宋体" w:hAnsi="宋体" w:cs="宋体"/>
          <w:sz w:val="24"/>
        </w:rPr>
      </w:pPr>
      <w:r>
        <w:rPr>
          <w:rFonts w:hint="eastAsia" w:ascii="宋体" w:hAnsi="宋体" w:cs="宋体"/>
          <w:sz w:val="24"/>
        </w:rPr>
        <w:t>最高限价：</w:t>
      </w:r>
      <w:r>
        <w:rPr>
          <w:rFonts w:hint="eastAsia" w:ascii="宋体" w:hAnsi="宋体" w:cs="宋体"/>
          <w:sz w:val="24"/>
          <w:lang w:eastAsia="zh-CN"/>
        </w:rPr>
        <w:t>120.00万</w:t>
      </w:r>
      <w:r>
        <w:rPr>
          <w:rFonts w:hint="eastAsia" w:ascii="宋体" w:hAnsi="宋体" w:cs="宋体"/>
          <w:sz w:val="24"/>
        </w:rPr>
        <w:t>元</w:t>
      </w:r>
    </w:p>
    <w:p w14:paraId="6246049B">
      <w:pPr>
        <w:pStyle w:val="23"/>
        <w:spacing w:line="380" w:lineRule="exact"/>
        <w:ind w:firstLine="480" w:firstLineChars="200"/>
        <w:rPr>
          <w:rFonts w:hAnsi="宋体" w:cs="宋体"/>
          <w:sz w:val="24"/>
          <w:szCs w:val="24"/>
        </w:rPr>
      </w:pPr>
      <w:r>
        <w:rPr>
          <w:rFonts w:hint="eastAsia" w:hAnsi="宋体" w:cs="宋体"/>
          <w:sz w:val="24"/>
          <w:szCs w:val="24"/>
        </w:rPr>
        <w:t>采购需求：交易价格评估服务项目（详见采购需求）</w:t>
      </w:r>
    </w:p>
    <w:p w14:paraId="332B98A2">
      <w:pPr>
        <w:spacing w:line="380" w:lineRule="exact"/>
        <w:ind w:firstLine="480" w:firstLineChars="200"/>
        <w:rPr>
          <w:rFonts w:hint="eastAsia" w:ascii="宋体" w:hAnsi="宋体" w:eastAsia="宋体" w:cs="宋体"/>
          <w:kern w:val="2"/>
          <w:sz w:val="24"/>
          <w:szCs w:val="24"/>
          <w:lang w:val="en-US" w:eastAsia="zh-CN" w:bidi="ar-SA"/>
        </w:rPr>
      </w:pPr>
      <w:r>
        <w:rPr>
          <w:rFonts w:hint="eastAsia" w:ascii="宋体" w:hAnsi="宋体" w:cs="宋体"/>
          <w:sz w:val="24"/>
        </w:rPr>
        <w:t>合同履行期限：</w:t>
      </w:r>
      <w:r>
        <w:rPr>
          <w:rFonts w:hint="eastAsia" w:ascii="宋体" w:hAnsi="宋体" w:eastAsia="宋体" w:cs="宋体"/>
          <w:kern w:val="2"/>
          <w:sz w:val="24"/>
          <w:szCs w:val="24"/>
          <w:lang w:val="en-US" w:eastAsia="zh-CN" w:bidi="ar-SA"/>
        </w:rPr>
        <w:t>合同签订之日起</w:t>
      </w:r>
      <w:r>
        <w:rPr>
          <w:rFonts w:hint="eastAsia" w:ascii="宋体" w:hAnsi="宋体" w:cs="宋体"/>
          <w:kern w:val="2"/>
          <w:sz w:val="24"/>
          <w:szCs w:val="24"/>
          <w:lang w:val="en-US" w:eastAsia="zh-CN" w:bidi="ar-SA"/>
        </w:rPr>
        <w:t>二</w:t>
      </w:r>
      <w:r>
        <w:rPr>
          <w:rFonts w:hint="eastAsia" w:ascii="宋体" w:hAnsi="宋体" w:eastAsia="宋体" w:cs="宋体"/>
          <w:kern w:val="2"/>
          <w:sz w:val="24"/>
          <w:szCs w:val="24"/>
          <w:lang w:val="en-US" w:eastAsia="zh-CN" w:bidi="ar-SA"/>
        </w:rPr>
        <w:t>年。合同一年一签，中标人如能达到采购人的服务要求，次年可续签合同，最多续签</w:t>
      </w:r>
      <w:r>
        <w:rPr>
          <w:rFonts w:hint="eastAsia" w:ascii="宋体" w:hAnsi="宋体" w:cs="宋体"/>
          <w:kern w:val="2"/>
          <w:sz w:val="24"/>
          <w:szCs w:val="24"/>
          <w:lang w:val="en-US" w:eastAsia="zh-CN" w:bidi="ar-SA"/>
        </w:rPr>
        <w:t>一</w:t>
      </w:r>
      <w:r>
        <w:rPr>
          <w:rFonts w:hint="eastAsia" w:ascii="宋体" w:hAnsi="宋体" w:eastAsia="宋体" w:cs="宋体"/>
          <w:kern w:val="2"/>
          <w:sz w:val="24"/>
          <w:szCs w:val="24"/>
          <w:lang w:val="en-US" w:eastAsia="zh-CN" w:bidi="ar-SA"/>
        </w:rPr>
        <w:t>次</w:t>
      </w:r>
    </w:p>
    <w:p w14:paraId="77109B5A">
      <w:pPr>
        <w:spacing w:line="380" w:lineRule="exact"/>
        <w:ind w:firstLine="480" w:firstLineChars="200"/>
        <w:rPr>
          <w:rFonts w:hint="default" w:ascii="宋体" w:hAnsi="宋体" w:eastAsia="宋体" w:cs="宋体"/>
          <w:kern w:val="2"/>
          <w:sz w:val="24"/>
          <w:szCs w:val="24"/>
          <w:lang w:val="en-US" w:eastAsia="zh-CN" w:bidi="ar-SA"/>
        </w:rPr>
      </w:pPr>
      <w:r>
        <w:rPr>
          <w:rFonts w:hint="eastAsia" w:ascii="宋体" w:hAnsi="宋体" w:cs="宋体"/>
          <w:kern w:val="2"/>
          <w:sz w:val="24"/>
          <w:szCs w:val="24"/>
          <w:lang w:val="en-US" w:eastAsia="zh-CN" w:bidi="ar-SA"/>
        </w:rPr>
        <w:t>评估机构数量：择优选择2家评估机构</w:t>
      </w:r>
    </w:p>
    <w:p w14:paraId="2A8B4F07">
      <w:pPr>
        <w:spacing w:line="380" w:lineRule="exact"/>
        <w:ind w:firstLine="480" w:firstLineChars="200"/>
        <w:rPr>
          <w:rFonts w:ascii="宋体" w:hAnsi="宋体" w:cs="宋体"/>
          <w:sz w:val="24"/>
          <w:u w:val="single"/>
        </w:rPr>
      </w:pPr>
      <w:r>
        <w:rPr>
          <w:rFonts w:hint="eastAsia" w:ascii="宋体" w:hAnsi="宋体" w:cs="宋体"/>
          <w:sz w:val="24"/>
        </w:rPr>
        <w:t>质量要求：合格</w:t>
      </w:r>
    </w:p>
    <w:p w14:paraId="3D6380A8">
      <w:pPr>
        <w:spacing w:line="380" w:lineRule="exact"/>
        <w:ind w:firstLine="480" w:firstLineChars="200"/>
        <w:rPr>
          <w:rFonts w:ascii="宋体" w:hAnsi="宋体" w:cs="宋体"/>
          <w:sz w:val="24"/>
        </w:rPr>
      </w:pPr>
      <w:r>
        <w:rPr>
          <w:rFonts w:hint="eastAsia" w:ascii="宋体" w:hAnsi="宋体" w:cs="宋体"/>
          <w:sz w:val="24"/>
        </w:rPr>
        <w:t>本项目（是/否☑）不接受联合体。</w:t>
      </w:r>
    </w:p>
    <w:p w14:paraId="2D4B80F4">
      <w:pPr>
        <w:spacing w:line="360" w:lineRule="exact"/>
        <w:ind w:firstLine="487" w:firstLineChars="202"/>
        <w:rPr>
          <w:rFonts w:ascii="宋体" w:hAnsi="宋体" w:cs="宋体"/>
          <w:b/>
          <w:bCs/>
          <w:sz w:val="24"/>
        </w:rPr>
      </w:pPr>
      <w:bookmarkStart w:id="8" w:name="_Toc28359014"/>
      <w:bookmarkStart w:id="9" w:name="_Toc35393800"/>
      <w:bookmarkStart w:id="10" w:name="_Toc35393631"/>
      <w:bookmarkStart w:id="11" w:name="_Toc28359091"/>
      <w:r>
        <w:rPr>
          <w:rFonts w:hint="eastAsia" w:ascii="宋体" w:hAnsi="宋体" w:cs="宋体"/>
          <w:b/>
          <w:bCs/>
          <w:sz w:val="24"/>
        </w:rPr>
        <w:t>二、申请人的资格要求:</w:t>
      </w:r>
    </w:p>
    <w:p w14:paraId="449ED4E6">
      <w:pPr>
        <w:spacing w:line="360" w:lineRule="exact"/>
        <w:ind w:firstLine="480" w:firstLineChars="200"/>
        <w:rPr>
          <w:rFonts w:ascii="宋体" w:hAnsi="宋体" w:cs="宋体"/>
          <w:sz w:val="24"/>
        </w:rPr>
      </w:pPr>
      <w:r>
        <w:rPr>
          <w:rFonts w:hint="eastAsia" w:ascii="宋体" w:hAnsi="宋体" w:cs="宋体"/>
          <w:sz w:val="24"/>
        </w:rPr>
        <w:t>1、满足《中华人民共和国政府采购法》第二十二条规定、《中华人民共和国政府采购法实施条例》第十七条和第十八条的规定，并提供下列审查材料：</w:t>
      </w:r>
    </w:p>
    <w:p w14:paraId="1C5A679B">
      <w:pPr>
        <w:pStyle w:val="64"/>
        <w:widowControl w:val="0"/>
        <w:spacing w:before="0" w:after="0" w:line="380" w:lineRule="exact"/>
        <w:ind w:firstLine="480"/>
        <w:rPr>
          <w:rFonts w:ascii="宋体" w:hAnsi="宋体" w:eastAsia="宋体" w:cs="宋体"/>
          <w:sz w:val="24"/>
          <w:szCs w:val="24"/>
        </w:rPr>
      </w:pPr>
      <w:r>
        <w:rPr>
          <w:rStyle w:val="285"/>
          <w:rFonts w:hint="eastAsia" w:ascii="宋体" w:hAnsi="宋体" w:eastAsia="宋体" w:cs="宋体"/>
          <w:sz w:val="24"/>
          <w:szCs w:val="24"/>
        </w:rPr>
        <w:t>2、本项目的资格要求：</w:t>
      </w:r>
    </w:p>
    <w:tbl>
      <w:tblPr>
        <w:tblStyle w:val="46"/>
        <w:tblW w:w="8505" w:type="dxa"/>
        <w:tblInd w:w="392"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992"/>
        <w:gridCol w:w="851"/>
        <w:gridCol w:w="3113"/>
        <w:gridCol w:w="3549"/>
      </w:tblGrid>
      <w:tr w14:paraId="403C17D2">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811" w:hRule="atLeast"/>
        </w:trPr>
        <w:tc>
          <w:tcPr>
            <w:tcW w:w="992"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14:paraId="534555F0">
            <w:pPr>
              <w:spacing w:line="380" w:lineRule="exact"/>
              <w:jc w:val="center"/>
              <w:rPr>
                <w:rFonts w:ascii="宋体" w:hAnsi="宋体" w:cs="宋体"/>
                <w:color w:val="333333"/>
                <w:kern w:val="0"/>
                <w:sz w:val="24"/>
              </w:rPr>
            </w:pPr>
            <w:r>
              <w:rPr>
                <w:rFonts w:hint="eastAsia" w:ascii="宋体" w:hAnsi="宋体" w:cs="宋体"/>
                <w:color w:val="333333"/>
                <w:kern w:val="0"/>
                <w:sz w:val="24"/>
              </w:rPr>
              <w:t>序号</w:t>
            </w:r>
          </w:p>
        </w:tc>
        <w:tc>
          <w:tcPr>
            <w:tcW w:w="3964" w:type="dxa"/>
            <w:gridSpan w:val="2"/>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25FEAD9C">
            <w:pPr>
              <w:spacing w:line="380" w:lineRule="exact"/>
              <w:jc w:val="center"/>
              <w:rPr>
                <w:rFonts w:ascii="宋体" w:hAnsi="宋体" w:cs="宋体"/>
                <w:color w:val="333333"/>
                <w:kern w:val="0"/>
                <w:sz w:val="24"/>
              </w:rPr>
            </w:pPr>
            <w:r>
              <w:rPr>
                <w:rFonts w:hint="eastAsia" w:ascii="宋体" w:hAnsi="宋体" w:cs="宋体"/>
                <w:color w:val="333333"/>
                <w:kern w:val="0"/>
                <w:sz w:val="24"/>
              </w:rPr>
              <w:t>资质内容</w:t>
            </w:r>
          </w:p>
        </w:tc>
        <w:tc>
          <w:tcPr>
            <w:tcW w:w="3549" w:type="dxa"/>
            <w:tcBorders>
              <w:top w:val="single" w:color="auto" w:sz="8" w:space="0"/>
              <w:left w:val="nil"/>
              <w:bottom w:val="single" w:color="auto" w:sz="8" w:space="0"/>
              <w:right w:val="single" w:color="auto" w:sz="8" w:space="0"/>
            </w:tcBorders>
            <w:tcMar>
              <w:top w:w="0" w:type="dxa"/>
              <w:left w:w="108" w:type="dxa"/>
              <w:bottom w:w="0" w:type="dxa"/>
              <w:right w:w="108" w:type="dxa"/>
            </w:tcMar>
            <w:vAlign w:val="center"/>
          </w:tcPr>
          <w:p w14:paraId="3656EFD9">
            <w:pPr>
              <w:spacing w:line="380" w:lineRule="exact"/>
              <w:jc w:val="center"/>
              <w:rPr>
                <w:rFonts w:ascii="宋体" w:hAnsi="宋体" w:cs="宋体"/>
                <w:color w:val="333333"/>
                <w:kern w:val="0"/>
                <w:sz w:val="24"/>
              </w:rPr>
            </w:pPr>
            <w:r>
              <w:rPr>
                <w:rFonts w:hint="eastAsia" w:ascii="宋体" w:hAnsi="宋体" w:cs="宋体"/>
                <w:color w:val="333333"/>
                <w:kern w:val="0"/>
                <w:sz w:val="24"/>
              </w:rPr>
              <w:t>提交形式</w:t>
            </w:r>
          </w:p>
        </w:tc>
      </w:tr>
      <w:tr w14:paraId="5974ACC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59" w:hRule="atLeast"/>
        </w:trPr>
        <w:tc>
          <w:tcPr>
            <w:tcW w:w="992" w:type="dxa"/>
            <w:vMerge w:val="restart"/>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C6AB1C6">
            <w:pPr>
              <w:spacing w:line="380" w:lineRule="exact"/>
              <w:jc w:val="center"/>
              <w:rPr>
                <w:rFonts w:ascii="宋体" w:hAnsi="宋体" w:cs="宋体"/>
                <w:color w:val="333333"/>
                <w:kern w:val="0"/>
                <w:sz w:val="24"/>
              </w:rPr>
            </w:pPr>
            <w:r>
              <w:rPr>
                <w:rFonts w:hint="eastAsia" w:ascii="宋体" w:hAnsi="宋体" w:cs="宋体"/>
                <w:color w:val="333333"/>
                <w:kern w:val="0"/>
                <w:sz w:val="24"/>
              </w:rPr>
              <w:t>1</w:t>
            </w:r>
          </w:p>
          <w:p w14:paraId="0432D4A5">
            <w:pPr>
              <w:spacing w:line="380" w:lineRule="exact"/>
              <w:jc w:val="center"/>
              <w:rPr>
                <w:rFonts w:ascii="宋体" w:hAnsi="宋体" w:cs="宋体"/>
                <w:color w:val="333333"/>
                <w:kern w:val="0"/>
                <w:sz w:val="24"/>
              </w:rPr>
            </w:pPr>
            <w:r>
              <w:rPr>
                <w:rFonts w:hint="eastAsia" w:ascii="宋体" w:hAnsi="宋体" w:cs="宋体"/>
                <w:color w:val="333333"/>
                <w:kern w:val="0"/>
                <w:sz w:val="24"/>
              </w:rPr>
              <w:t>（供应商可任选其中1项提供材料，2选1）</w:t>
            </w: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2D147E02">
            <w:pPr>
              <w:spacing w:line="380" w:lineRule="exact"/>
              <w:jc w:val="center"/>
              <w:rPr>
                <w:rFonts w:ascii="宋体" w:hAnsi="宋体" w:cs="宋体"/>
                <w:color w:val="333333"/>
                <w:kern w:val="0"/>
                <w:sz w:val="24"/>
              </w:rPr>
            </w:pPr>
            <w:r>
              <w:rPr>
                <w:rFonts w:hint="eastAsia" w:ascii="宋体" w:hAnsi="宋体" w:cs="宋体"/>
                <w:color w:val="333333"/>
                <w:kern w:val="0"/>
                <w:sz w:val="24"/>
              </w:rPr>
              <w:t>（1）</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0632D1D2">
            <w:pPr>
              <w:spacing w:line="380" w:lineRule="exact"/>
              <w:jc w:val="center"/>
              <w:rPr>
                <w:rFonts w:ascii="宋体" w:hAnsi="宋体" w:cs="宋体"/>
                <w:color w:val="333333"/>
                <w:kern w:val="0"/>
                <w:sz w:val="24"/>
              </w:rPr>
            </w:pPr>
            <w:r>
              <w:rPr>
                <w:rFonts w:hint="eastAsia" w:ascii="宋体" w:hAnsi="宋体" w:cs="宋体"/>
                <w:color w:val="333333"/>
                <w:kern w:val="0"/>
                <w:sz w:val="24"/>
              </w:rPr>
              <w:t>法定代表人资格证明（格式按照示范格式一要求）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66A81684">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14:paraId="444F028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20" w:hRule="atLeast"/>
        </w:trPr>
        <w:tc>
          <w:tcPr>
            <w:tcW w:w="992" w:type="dxa"/>
            <w:vMerge w:val="continue"/>
            <w:tcBorders>
              <w:top w:val="nil"/>
              <w:left w:val="single" w:color="auto" w:sz="8" w:space="0"/>
              <w:bottom w:val="single" w:color="auto" w:sz="8" w:space="0"/>
              <w:right w:val="single" w:color="auto" w:sz="8" w:space="0"/>
            </w:tcBorders>
            <w:vAlign w:val="center"/>
          </w:tcPr>
          <w:p w14:paraId="6C144A0B">
            <w:pPr>
              <w:spacing w:line="380" w:lineRule="exact"/>
              <w:jc w:val="left"/>
              <w:rPr>
                <w:rFonts w:ascii="宋体" w:hAnsi="宋体" w:cs="宋体"/>
                <w:color w:val="333333"/>
                <w:kern w:val="0"/>
                <w:sz w:val="24"/>
              </w:rPr>
            </w:pPr>
          </w:p>
        </w:tc>
        <w:tc>
          <w:tcPr>
            <w:tcW w:w="851" w:type="dxa"/>
            <w:vMerge w:val="continue"/>
            <w:tcBorders>
              <w:top w:val="nil"/>
              <w:left w:val="nil"/>
              <w:bottom w:val="single" w:color="auto" w:sz="8" w:space="0"/>
              <w:right w:val="single" w:color="auto" w:sz="8" w:space="0"/>
            </w:tcBorders>
            <w:vAlign w:val="center"/>
          </w:tcPr>
          <w:p w14:paraId="61697158">
            <w:pPr>
              <w:spacing w:line="380" w:lineRule="exact"/>
              <w:jc w:val="left"/>
              <w:rPr>
                <w:rFonts w:ascii="宋体" w:hAnsi="宋体" w:cs="宋体"/>
                <w:color w:val="333333"/>
                <w:kern w:val="0"/>
                <w:sz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252E25CC">
            <w:pPr>
              <w:spacing w:line="380" w:lineRule="exact"/>
              <w:jc w:val="center"/>
              <w:rPr>
                <w:rFonts w:ascii="宋体" w:hAnsi="宋体" w:cs="宋体"/>
                <w:color w:val="333333"/>
                <w:kern w:val="0"/>
                <w:sz w:val="24"/>
              </w:rPr>
            </w:pPr>
            <w:r>
              <w:rPr>
                <w:rFonts w:hint="eastAsia" w:ascii="宋体" w:hAnsi="宋体" w:cs="宋体"/>
                <w:color w:val="333333"/>
                <w:kern w:val="0"/>
                <w:sz w:val="24"/>
              </w:rPr>
              <w:t>法定代表人身份证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766CBB01">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14:paraId="5921DD60">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140" w:hRule="atLeast"/>
        </w:trPr>
        <w:tc>
          <w:tcPr>
            <w:tcW w:w="992" w:type="dxa"/>
            <w:vMerge w:val="continue"/>
            <w:tcBorders>
              <w:top w:val="nil"/>
              <w:left w:val="single" w:color="auto" w:sz="8" w:space="0"/>
              <w:bottom w:val="single" w:color="auto" w:sz="8" w:space="0"/>
              <w:right w:val="single" w:color="auto" w:sz="8" w:space="0"/>
            </w:tcBorders>
            <w:vAlign w:val="center"/>
          </w:tcPr>
          <w:p w14:paraId="26210E46">
            <w:pPr>
              <w:spacing w:line="380" w:lineRule="exact"/>
              <w:jc w:val="left"/>
              <w:rPr>
                <w:rFonts w:ascii="宋体" w:hAnsi="宋体" w:cs="宋体"/>
                <w:color w:val="333333"/>
                <w:kern w:val="0"/>
                <w:sz w:val="24"/>
              </w:rPr>
            </w:pPr>
          </w:p>
        </w:tc>
        <w:tc>
          <w:tcPr>
            <w:tcW w:w="851" w:type="dxa"/>
            <w:vMerge w:val="restart"/>
            <w:tcBorders>
              <w:top w:val="nil"/>
              <w:left w:val="nil"/>
              <w:bottom w:val="single" w:color="auto" w:sz="8" w:space="0"/>
              <w:right w:val="single" w:color="auto" w:sz="8" w:space="0"/>
            </w:tcBorders>
            <w:tcMar>
              <w:top w:w="0" w:type="dxa"/>
              <w:left w:w="108" w:type="dxa"/>
              <w:bottom w:w="0" w:type="dxa"/>
              <w:right w:w="108" w:type="dxa"/>
            </w:tcMar>
            <w:vAlign w:val="center"/>
          </w:tcPr>
          <w:p w14:paraId="5D2D585D">
            <w:pPr>
              <w:spacing w:line="380" w:lineRule="exact"/>
              <w:jc w:val="center"/>
              <w:rPr>
                <w:rFonts w:ascii="宋体" w:hAnsi="宋体" w:cs="宋体"/>
                <w:color w:val="333333"/>
                <w:kern w:val="0"/>
                <w:sz w:val="24"/>
              </w:rPr>
            </w:pPr>
            <w:r>
              <w:rPr>
                <w:rFonts w:hint="eastAsia" w:ascii="宋体" w:hAnsi="宋体" w:cs="宋体"/>
                <w:color w:val="333333"/>
                <w:kern w:val="0"/>
                <w:sz w:val="24"/>
              </w:rPr>
              <w:t>（2）</w:t>
            </w: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2FA3C5D2">
            <w:pPr>
              <w:spacing w:line="380" w:lineRule="exact"/>
              <w:jc w:val="center"/>
              <w:rPr>
                <w:rFonts w:ascii="宋体" w:hAnsi="宋体" w:cs="宋体"/>
                <w:color w:val="333333"/>
                <w:kern w:val="0"/>
                <w:sz w:val="24"/>
              </w:rPr>
            </w:pPr>
            <w:r>
              <w:rPr>
                <w:rFonts w:hint="eastAsia" w:ascii="宋体" w:hAnsi="宋体" w:cs="宋体"/>
                <w:color w:val="333333"/>
                <w:kern w:val="0"/>
                <w:sz w:val="24"/>
              </w:rPr>
              <w:t>授权委托书（格式按照示范格式二要求）</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8E8E18E">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14:paraId="29FFBB8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180" w:hRule="atLeast"/>
        </w:trPr>
        <w:tc>
          <w:tcPr>
            <w:tcW w:w="992" w:type="dxa"/>
            <w:vMerge w:val="continue"/>
            <w:tcBorders>
              <w:top w:val="nil"/>
              <w:left w:val="single" w:color="auto" w:sz="8" w:space="0"/>
              <w:bottom w:val="single" w:color="auto" w:sz="8" w:space="0"/>
              <w:right w:val="single" w:color="auto" w:sz="8" w:space="0"/>
            </w:tcBorders>
            <w:vAlign w:val="center"/>
          </w:tcPr>
          <w:p w14:paraId="03368F16">
            <w:pPr>
              <w:spacing w:line="380" w:lineRule="exact"/>
              <w:jc w:val="left"/>
              <w:rPr>
                <w:rFonts w:ascii="宋体" w:hAnsi="宋体" w:cs="宋体"/>
                <w:color w:val="333333"/>
                <w:kern w:val="0"/>
                <w:sz w:val="24"/>
              </w:rPr>
            </w:pPr>
          </w:p>
        </w:tc>
        <w:tc>
          <w:tcPr>
            <w:tcW w:w="851" w:type="dxa"/>
            <w:vMerge w:val="continue"/>
            <w:tcBorders>
              <w:top w:val="nil"/>
              <w:left w:val="nil"/>
              <w:bottom w:val="single" w:color="auto" w:sz="8" w:space="0"/>
              <w:right w:val="single" w:color="auto" w:sz="8" w:space="0"/>
            </w:tcBorders>
            <w:vAlign w:val="center"/>
          </w:tcPr>
          <w:p w14:paraId="5F1BDEFC">
            <w:pPr>
              <w:spacing w:line="380" w:lineRule="exact"/>
              <w:jc w:val="left"/>
              <w:rPr>
                <w:rFonts w:ascii="宋体" w:hAnsi="宋体" w:cs="宋体"/>
                <w:color w:val="333333"/>
                <w:kern w:val="0"/>
                <w:sz w:val="24"/>
              </w:rPr>
            </w:pPr>
          </w:p>
        </w:tc>
        <w:tc>
          <w:tcPr>
            <w:tcW w:w="3113" w:type="dxa"/>
            <w:tcBorders>
              <w:top w:val="nil"/>
              <w:left w:val="nil"/>
              <w:bottom w:val="single" w:color="auto" w:sz="8" w:space="0"/>
              <w:right w:val="single" w:color="auto" w:sz="8" w:space="0"/>
            </w:tcBorders>
            <w:tcMar>
              <w:top w:w="0" w:type="dxa"/>
              <w:left w:w="108" w:type="dxa"/>
              <w:bottom w:w="0" w:type="dxa"/>
              <w:right w:w="108" w:type="dxa"/>
            </w:tcMar>
            <w:vAlign w:val="center"/>
          </w:tcPr>
          <w:p w14:paraId="4B4658E4">
            <w:pPr>
              <w:spacing w:line="380" w:lineRule="exact"/>
              <w:jc w:val="center"/>
              <w:rPr>
                <w:rFonts w:ascii="宋体" w:hAnsi="宋体" w:cs="宋体"/>
                <w:color w:val="333333"/>
                <w:kern w:val="0"/>
                <w:sz w:val="24"/>
              </w:rPr>
            </w:pPr>
            <w:r>
              <w:rPr>
                <w:rFonts w:hint="eastAsia" w:ascii="宋体" w:hAnsi="宋体" w:cs="宋体"/>
                <w:color w:val="333333"/>
                <w:kern w:val="0"/>
                <w:sz w:val="24"/>
              </w:rPr>
              <w:t>受托人身份证</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64CD1085">
            <w:pPr>
              <w:spacing w:line="380" w:lineRule="exact"/>
              <w:rPr>
                <w:rFonts w:ascii="宋体" w:hAnsi="宋体" w:cs="宋体"/>
                <w:color w:val="333333"/>
                <w:kern w:val="0"/>
                <w:sz w:val="24"/>
              </w:rPr>
            </w:pPr>
            <w:r>
              <w:rPr>
                <w:rFonts w:hint="eastAsia" w:ascii="宋体" w:hAnsi="宋体" w:cs="宋体"/>
                <w:color w:val="333333"/>
                <w:kern w:val="0"/>
                <w:sz w:val="24"/>
              </w:rPr>
              <w:t>盖单位公章装订在投标文件中（原件现场备查）</w:t>
            </w:r>
          </w:p>
        </w:tc>
      </w:tr>
      <w:tr w14:paraId="51C4B585">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52C9CB29">
            <w:pPr>
              <w:spacing w:line="380" w:lineRule="exact"/>
              <w:jc w:val="center"/>
              <w:rPr>
                <w:rFonts w:ascii="宋体" w:hAnsi="宋体" w:cs="宋体"/>
                <w:color w:val="333333"/>
                <w:kern w:val="0"/>
                <w:sz w:val="24"/>
              </w:rPr>
            </w:pPr>
            <w:r>
              <w:rPr>
                <w:rFonts w:hint="eastAsia" w:ascii="宋体" w:hAnsi="宋体" w:cs="宋体"/>
                <w:color w:val="333333"/>
                <w:kern w:val="0"/>
                <w:sz w:val="24"/>
              </w:rPr>
              <w:t>2</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2283C8AD">
            <w:pPr>
              <w:spacing w:line="380" w:lineRule="exact"/>
              <w:jc w:val="center"/>
              <w:rPr>
                <w:rFonts w:ascii="宋体" w:hAnsi="宋体" w:cs="宋体"/>
                <w:color w:val="333333"/>
                <w:kern w:val="0"/>
                <w:sz w:val="24"/>
              </w:rPr>
            </w:pPr>
            <w:r>
              <w:rPr>
                <w:rFonts w:hint="eastAsia" w:ascii="宋体" w:hAnsi="宋体" w:cs="宋体"/>
                <w:color w:val="333333"/>
                <w:kern w:val="0"/>
                <w:sz w:val="24"/>
              </w:rPr>
              <w:t xml:space="preserve">营业执照 </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34B65417">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14:paraId="295AFD29">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06" w:hRule="atLeast"/>
        </w:trPr>
        <w:tc>
          <w:tcPr>
            <w:tcW w:w="992" w:type="dxa"/>
            <w:tcBorders>
              <w:top w:val="nil"/>
              <w:left w:val="single" w:color="auto" w:sz="8" w:space="0"/>
              <w:bottom w:val="single" w:color="auto" w:sz="8" w:space="0"/>
              <w:right w:val="single" w:color="auto" w:sz="8" w:space="0"/>
            </w:tcBorders>
            <w:tcMar>
              <w:top w:w="0" w:type="dxa"/>
              <w:left w:w="108" w:type="dxa"/>
              <w:bottom w:w="0" w:type="dxa"/>
              <w:right w:w="108" w:type="dxa"/>
            </w:tcMar>
            <w:vAlign w:val="center"/>
          </w:tcPr>
          <w:p w14:paraId="02748DE1">
            <w:pPr>
              <w:spacing w:line="380" w:lineRule="exact"/>
              <w:jc w:val="center"/>
              <w:rPr>
                <w:rFonts w:ascii="宋体" w:hAnsi="宋体" w:cs="宋体"/>
                <w:color w:val="333333"/>
                <w:kern w:val="0"/>
                <w:sz w:val="24"/>
              </w:rPr>
            </w:pPr>
            <w:r>
              <w:rPr>
                <w:rFonts w:hint="eastAsia" w:ascii="宋体" w:hAnsi="宋体" w:cs="宋体"/>
                <w:color w:val="333333"/>
                <w:kern w:val="0"/>
                <w:sz w:val="24"/>
              </w:rPr>
              <w:t>3</w:t>
            </w:r>
          </w:p>
        </w:tc>
        <w:tc>
          <w:tcPr>
            <w:tcW w:w="3964" w:type="dxa"/>
            <w:gridSpan w:val="2"/>
            <w:tcBorders>
              <w:top w:val="nil"/>
              <w:left w:val="nil"/>
              <w:bottom w:val="single" w:color="auto" w:sz="8" w:space="0"/>
              <w:right w:val="single" w:color="auto" w:sz="8" w:space="0"/>
            </w:tcBorders>
            <w:tcMar>
              <w:top w:w="0" w:type="dxa"/>
              <w:left w:w="108" w:type="dxa"/>
              <w:bottom w:w="0" w:type="dxa"/>
              <w:right w:w="108" w:type="dxa"/>
            </w:tcMar>
            <w:vAlign w:val="center"/>
          </w:tcPr>
          <w:p w14:paraId="28BC4AED">
            <w:pPr>
              <w:spacing w:line="380" w:lineRule="exact"/>
              <w:jc w:val="left"/>
              <w:rPr>
                <w:rFonts w:hint="eastAsia" w:ascii="宋体" w:hAnsi="宋体" w:cs="宋体"/>
                <w:color w:val="333333"/>
                <w:kern w:val="0"/>
                <w:sz w:val="24"/>
              </w:rPr>
            </w:pPr>
            <w:r>
              <w:rPr>
                <w:rFonts w:hint="eastAsia" w:ascii="宋体" w:hAnsi="宋体" w:cs="宋体"/>
                <w:color w:val="333333"/>
                <w:kern w:val="0"/>
                <w:sz w:val="24"/>
              </w:rPr>
              <w:t>特定资格要求：</w:t>
            </w:r>
            <w:r>
              <w:rPr>
                <w:rFonts w:hint="eastAsia" w:ascii="宋体" w:hAnsi="宋体" w:cs="宋体"/>
                <w:color w:val="333333"/>
                <w:kern w:val="0"/>
                <w:sz w:val="24"/>
                <w:lang w:eastAsia="zh-CN"/>
              </w:rPr>
              <w:t>投标人须具有</w:t>
            </w:r>
          </w:p>
          <w:p w14:paraId="51773CF8">
            <w:pPr>
              <w:numPr>
                <w:ilvl w:val="0"/>
                <w:numId w:val="4"/>
              </w:numPr>
              <w:spacing w:line="380" w:lineRule="exact"/>
              <w:jc w:val="left"/>
              <w:rPr>
                <w:rFonts w:hint="eastAsia" w:ascii="宋体" w:hAnsi="宋体" w:cs="宋体"/>
                <w:color w:val="333333"/>
                <w:kern w:val="0"/>
                <w:sz w:val="24"/>
              </w:rPr>
            </w:pPr>
            <w:r>
              <w:rPr>
                <w:rFonts w:hint="eastAsia" w:ascii="宋体" w:hAnsi="宋体" w:cs="宋体"/>
                <w:color w:val="333333"/>
                <w:kern w:val="0"/>
                <w:sz w:val="24"/>
              </w:rPr>
              <w:t>住房和城乡建设部门颁发的《房地产估价机构备案证书》</w:t>
            </w:r>
          </w:p>
          <w:p w14:paraId="4C73AD0E">
            <w:pPr>
              <w:numPr>
                <w:ilvl w:val="0"/>
                <w:numId w:val="0"/>
              </w:numPr>
              <w:spacing w:line="380" w:lineRule="exact"/>
              <w:jc w:val="left"/>
              <w:rPr>
                <w:rFonts w:ascii="宋体" w:hAnsi="宋体" w:cs="宋体"/>
                <w:color w:val="333333"/>
                <w:kern w:val="0"/>
                <w:sz w:val="24"/>
              </w:rPr>
            </w:pPr>
            <w:r>
              <w:rPr>
                <w:rFonts w:hint="eastAsia" w:ascii="宋体" w:hAnsi="宋体" w:cs="宋体"/>
                <w:color w:val="333333"/>
                <w:kern w:val="0"/>
                <w:sz w:val="24"/>
              </w:rPr>
              <w:t>2.自然资源部门完成的土地估价机构备案证书或函。</w:t>
            </w:r>
          </w:p>
        </w:tc>
        <w:tc>
          <w:tcPr>
            <w:tcW w:w="3549" w:type="dxa"/>
            <w:tcBorders>
              <w:top w:val="nil"/>
              <w:left w:val="nil"/>
              <w:bottom w:val="single" w:color="auto" w:sz="8" w:space="0"/>
              <w:right w:val="single" w:color="auto" w:sz="8" w:space="0"/>
            </w:tcBorders>
            <w:tcMar>
              <w:top w:w="0" w:type="dxa"/>
              <w:left w:w="108" w:type="dxa"/>
              <w:bottom w:w="0" w:type="dxa"/>
              <w:right w:w="108" w:type="dxa"/>
            </w:tcMar>
            <w:vAlign w:val="center"/>
          </w:tcPr>
          <w:p w14:paraId="0E25DEC1">
            <w:pPr>
              <w:spacing w:line="380" w:lineRule="exact"/>
              <w:jc w:val="center"/>
              <w:rPr>
                <w:rFonts w:hint="eastAsia" w:ascii="宋体" w:hAnsi="宋体" w:cs="宋体"/>
                <w:color w:val="auto"/>
                <w:kern w:val="0"/>
                <w:sz w:val="24"/>
                <w:highlight w:val="yellow"/>
              </w:rPr>
            </w:pPr>
          </w:p>
          <w:p w14:paraId="0CC2D466">
            <w:pPr>
              <w:spacing w:line="380" w:lineRule="exact"/>
              <w:jc w:val="center"/>
              <w:rPr>
                <w:rFonts w:ascii="宋体" w:hAnsi="宋体" w:cs="宋体"/>
                <w:color w:val="333333"/>
                <w:kern w:val="0"/>
                <w:sz w:val="24"/>
              </w:rPr>
            </w:pPr>
            <w:r>
              <w:rPr>
                <w:rFonts w:hint="eastAsia" w:ascii="宋体" w:hAnsi="宋体" w:cs="宋体"/>
                <w:color w:val="auto"/>
                <w:kern w:val="0"/>
                <w:sz w:val="24"/>
                <w:highlight w:val="none"/>
              </w:rPr>
              <w:t>提供证明材料复印件加盖公章装订</w:t>
            </w:r>
            <w:r>
              <w:rPr>
                <w:rFonts w:hint="eastAsia" w:ascii="宋体" w:hAnsi="宋体" w:cs="宋体"/>
                <w:color w:val="auto"/>
                <w:kern w:val="0"/>
                <w:sz w:val="24"/>
                <w:highlight w:val="none"/>
                <w:lang w:val="en-US" w:eastAsia="zh-CN"/>
              </w:rPr>
              <w:t>在</w:t>
            </w:r>
            <w:r>
              <w:rPr>
                <w:rFonts w:hint="eastAsia" w:ascii="宋体" w:hAnsi="宋体" w:cs="宋体"/>
                <w:color w:val="auto"/>
                <w:kern w:val="0"/>
                <w:sz w:val="24"/>
                <w:highlight w:val="none"/>
              </w:rPr>
              <w:t>投标文件</w:t>
            </w:r>
          </w:p>
        </w:tc>
      </w:tr>
      <w:tr w14:paraId="25759046">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nil"/>
              <w:left w:val="single" w:color="auto" w:sz="8" w:space="0"/>
              <w:bottom w:val="single" w:color="auto" w:sz="4" w:space="0"/>
              <w:right w:val="single" w:color="auto" w:sz="8" w:space="0"/>
            </w:tcBorders>
            <w:tcMar>
              <w:top w:w="0" w:type="dxa"/>
              <w:left w:w="108" w:type="dxa"/>
              <w:bottom w:w="0" w:type="dxa"/>
              <w:right w:w="108" w:type="dxa"/>
            </w:tcMar>
            <w:vAlign w:val="center"/>
          </w:tcPr>
          <w:p w14:paraId="22AED8E6">
            <w:pPr>
              <w:spacing w:line="380" w:lineRule="exact"/>
              <w:jc w:val="center"/>
              <w:rPr>
                <w:rFonts w:ascii="宋体" w:hAnsi="宋体" w:cs="宋体"/>
                <w:color w:val="333333"/>
                <w:kern w:val="0"/>
                <w:sz w:val="24"/>
              </w:rPr>
            </w:pPr>
            <w:r>
              <w:rPr>
                <w:rFonts w:hint="eastAsia" w:ascii="宋体" w:hAnsi="宋体" w:cs="宋体"/>
                <w:color w:val="333333"/>
                <w:kern w:val="0"/>
                <w:sz w:val="24"/>
              </w:rPr>
              <w:t>4</w:t>
            </w:r>
          </w:p>
        </w:tc>
        <w:tc>
          <w:tcPr>
            <w:tcW w:w="3964" w:type="dxa"/>
            <w:gridSpan w:val="2"/>
            <w:tcBorders>
              <w:top w:val="nil"/>
              <w:left w:val="nil"/>
              <w:bottom w:val="single" w:color="auto" w:sz="4" w:space="0"/>
              <w:right w:val="single" w:color="auto" w:sz="8" w:space="0"/>
            </w:tcBorders>
            <w:tcMar>
              <w:top w:w="0" w:type="dxa"/>
              <w:left w:w="108" w:type="dxa"/>
              <w:bottom w:w="0" w:type="dxa"/>
              <w:right w:w="108" w:type="dxa"/>
            </w:tcMar>
            <w:vAlign w:val="center"/>
          </w:tcPr>
          <w:p w14:paraId="28C3C294">
            <w:pPr>
              <w:pStyle w:val="17"/>
              <w:adjustRightInd w:val="0"/>
              <w:spacing w:after="0" w:line="360" w:lineRule="auto"/>
              <w:rPr>
                <w:rFonts w:ascii="宋体" w:hAnsi="宋体" w:cs="宋体"/>
                <w:color w:val="333333"/>
                <w:kern w:val="0"/>
                <w:sz w:val="24"/>
              </w:rPr>
            </w:pPr>
            <w:r>
              <w:rPr>
                <w:rFonts w:hint="eastAsia" w:ascii="宋体" w:hAnsi="宋体" w:cs="宋体"/>
                <w:color w:val="333333"/>
                <w:kern w:val="0"/>
                <w:sz w:val="24"/>
              </w:rPr>
              <w:t>承诺书和供应商信用承诺书</w:t>
            </w:r>
          </w:p>
          <w:p w14:paraId="790C6521">
            <w:pPr>
              <w:spacing w:line="380" w:lineRule="exact"/>
              <w:jc w:val="center"/>
              <w:rPr>
                <w:rFonts w:ascii="宋体" w:hAnsi="宋体" w:cs="宋体"/>
                <w:color w:val="333333"/>
                <w:kern w:val="0"/>
                <w:sz w:val="24"/>
              </w:rPr>
            </w:pPr>
            <w:r>
              <w:rPr>
                <w:rFonts w:hint="eastAsia" w:ascii="宋体" w:hAnsi="宋体" w:cs="宋体"/>
                <w:color w:val="333333"/>
                <w:kern w:val="0"/>
                <w:sz w:val="24"/>
              </w:rPr>
              <w:t>（格式按照示范格式三要求）</w:t>
            </w:r>
          </w:p>
        </w:tc>
        <w:tc>
          <w:tcPr>
            <w:tcW w:w="3549" w:type="dxa"/>
            <w:tcBorders>
              <w:top w:val="nil"/>
              <w:left w:val="nil"/>
              <w:bottom w:val="single" w:color="auto" w:sz="4" w:space="0"/>
              <w:right w:val="single" w:color="auto" w:sz="8" w:space="0"/>
            </w:tcBorders>
            <w:tcMar>
              <w:top w:w="0" w:type="dxa"/>
              <w:left w:w="108" w:type="dxa"/>
              <w:bottom w:w="0" w:type="dxa"/>
              <w:right w:w="108" w:type="dxa"/>
            </w:tcMar>
            <w:vAlign w:val="center"/>
          </w:tcPr>
          <w:p w14:paraId="6B909A1F">
            <w:pPr>
              <w:spacing w:line="380" w:lineRule="exact"/>
              <w:jc w:val="center"/>
              <w:rPr>
                <w:rFonts w:ascii="宋体" w:hAnsi="宋体" w:cs="宋体"/>
                <w:color w:val="333333"/>
                <w:kern w:val="0"/>
                <w:sz w:val="24"/>
              </w:rPr>
            </w:pPr>
            <w:r>
              <w:rPr>
                <w:rFonts w:hint="eastAsia" w:ascii="宋体" w:hAnsi="宋体" w:cs="宋体"/>
                <w:color w:val="333333"/>
                <w:kern w:val="0"/>
                <w:sz w:val="24"/>
              </w:rPr>
              <w:t>盖单位公章装订在投标文件中</w:t>
            </w:r>
          </w:p>
        </w:tc>
      </w:tr>
      <w:tr w14:paraId="5EA164A1">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922"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2A2C8E65">
            <w:pPr>
              <w:spacing w:line="380" w:lineRule="exact"/>
              <w:jc w:val="center"/>
              <w:rPr>
                <w:rFonts w:ascii="宋体" w:hAnsi="宋体" w:cs="宋体"/>
                <w:color w:val="333333"/>
                <w:kern w:val="0"/>
                <w:sz w:val="24"/>
              </w:rPr>
            </w:pPr>
            <w:r>
              <w:rPr>
                <w:rFonts w:hint="eastAsia" w:ascii="宋体" w:hAnsi="宋体" w:cs="宋体"/>
                <w:color w:val="333333"/>
                <w:kern w:val="0"/>
                <w:sz w:val="24"/>
              </w:rPr>
              <w:t>5</w:t>
            </w:r>
          </w:p>
        </w:tc>
        <w:tc>
          <w:tcPr>
            <w:tcW w:w="3964" w:type="dxa"/>
            <w:gridSpan w:val="2"/>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0A5F7EAE">
            <w:pPr>
              <w:spacing w:line="360" w:lineRule="exact"/>
              <w:jc w:val="center"/>
              <w:rPr>
                <w:rFonts w:ascii="宋体" w:hAnsi="宋体" w:cs="宋体"/>
                <w:kern w:val="0"/>
                <w:sz w:val="24"/>
              </w:rPr>
            </w:pPr>
            <w:r>
              <w:rPr>
                <w:rFonts w:hint="eastAsia" w:ascii="宋体" w:hAnsi="宋体" w:cs="宋体"/>
                <w:kern w:val="0"/>
                <w:sz w:val="24"/>
              </w:rPr>
              <w:t>符合《政府采购法》第二十二条规定条件的声明函（具备履行合同所必需的设备和专业技术能力、财务状况、缴纳税收和社会保障资金等证明材料，格式按照示范格式四要求）</w:t>
            </w:r>
          </w:p>
        </w:tc>
        <w:tc>
          <w:tcPr>
            <w:tcW w:w="3549" w:type="dxa"/>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0C8B7F5A">
            <w:pPr>
              <w:spacing w:line="360" w:lineRule="exact"/>
              <w:jc w:val="center"/>
              <w:rPr>
                <w:rFonts w:ascii="宋体" w:hAnsi="宋体" w:cs="宋体"/>
                <w:kern w:val="0"/>
                <w:sz w:val="24"/>
              </w:rPr>
            </w:pPr>
            <w:r>
              <w:rPr>
                <w:rFonts w:hint="eastAsia" w:ascii="宋体" w:hAnsi="宋体" w:cs="宋体"/>
                <w:color w:val="333333"/>
                <w:kern w:val="0"/>
                <w:sz w:val="24"/>
              </w:rPr>
              <w:t>盖单位公章装订在投标文件中</w:t>
            </w:r>
          </w:p>
        </w:tc>
      </w:tr>
      <w:tr w14:paraId="4F7F6C03">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557" w:hRule="atLeast"/>
        </w:trPr>
        <w:tc>
          <w:tcPr>
            <w:tcW w:w="992" w:type="dxa"/>
            <w:tcBorders>
              <w:top w:val="single" w:color="auto" w:sz="4" w:space="0"/>
              <w:left w:val="single" w:color="auto" w:sz="8" w:space="0"/>
              <w:bottom w:val="single" w:color="auto" w:sz="4" w:space="0"/>
              <w:right w:val="single" w:color="auto" w:sz="8" w:space="0"/>
            </w:tcBorders>
            <w:tcMar>
              <w:top w:w="0" w:type="dxa"/>
              <w:left w:w="108" w:type="dxa"/>
              <w:bottom w:w="0" w:type="dxa"/>
              <w:right w:w="108" w:type="dxa"/>
            </w:tcMar>
            <w:vAlign w:val="center"/>
          </w:tcPr>
          <w:p w14:paraId="709E5285">
            <w:pPr>
              <w:spacing w:line="380" w:lineRule="exact"/>
              <w:jc w:val="center"/>
              <w:rPr>
                <w:rFonts w:ascii="宋体" w:hAnsi="宋体" w:cs="宋体"/>
                <w:color w:val="333333"/>
                <w:kern w:val="0"/>
                <w:sz w:val="24"/>
              </w:rPr>
            </w:pPr>
            <w:r>
              <w:rPr>
                <w:rFonts w:hint="eastAsia" w:ascii="宋体" w:hAnsi="宋体" w:cs="宋体"/>
                <w:color w:val="333333"/>
                <w:kern w:val="0"/>
                <w:sz w:val="24"/>
              </w:rPr>
              <w:t>6</w:t>
            </w:r>
          </w:p>
        </w:tc>
        <w:tc>
          <w:tcPr>
            <w:tcW w:w="7513" w:type="dxa"/>
            <w:gridSpan w:val="3"/>
            <w:tcBorders>
              <w:top w:val="single" w:color="auto" w:sz="4" w:space="0"/>
              <w:left w:val="nil"/>
              <w:bottom w:val="single" w:color="auto" w:sz="4" w:space="0"/>
              <w:right w:val="single" w:color="auto" w:sz="8" w:space="0"/>
            </w:tcBorders>
            <w:tcMar>
              <w:top w:w="0" w:type="dxa"/>
              <w:left w:w="108" w:type="dxa"/>
              <w:bottom w:w="0" w:type="dxa"/>
              <w:right w:w="108" w:type="dxa"/>
            </w:tcMar>
            <w:vAlign w:val="center"/>
          </w:tcPr>
          <w:p w14:paraId="04D0B6F3">
            <w:pPr>
              <w:spacing w:line="380" w:lineRule="exact"/>
              <w:rPr>
                <w:rFonts w:ascii="宋体" w:hAnsi="宋体" w:cs="宋体"/>
                <w:color w:val="333333"/>
                <w:kern w:val="0"/>
                <w:sz w:val="24"/>
              </w:rPr>
            </w:pPr>
            <w:r>
              <w:rPr>
                <w:rFonts w:hint="eastAsia" w:ascii="宋体" w:hAnsi="宋体" w:cs="宋体"/>
                <w:color w:val="333333"/>
                <w:kern w:val="0"/>
                <w:sz w:val="24"/>
              </w:rPr>
              <w:t>投标人未被“信用中国”网（www.creditchina.gov.cn）列入失信被执行人、</w:t>
            </w:r>
          </w:p>
          <w:p w14:paraId="56073ADA">
            <w:pPr>
              <w:spacing w:line="380" w:lineRule="exact"/>
              <w:rPr>
                <w:rFonts w:ascii="宋体" w:hAnsi="宋体" w:cs="宋体"/>
                <w:color w:val="333333"/>
                <w:kern w:val="0"/>
                <w:sz w:val="24"/>
              </w:rPr>
            </w:pPr>
            <w:r>
              <w:rPr>
                <w:rFonts w:hint="eastAsia" w:ascii="宋体" w:hAnsi="宋体" w:cs="宋体"/>
                <w:color w:val="333333"/>
                <w:kern w:val="0"/>
                <w:sz w:val="24"/>
              </w:rPr>
              <w:t xml:space="preserve">重大税收违法案件当事人名单、政府采购严重违法失信行为记录名单。 </w:t>
            </w:r>
          </w:p>
          <w:p w14:paraId="6E69AE56">
            <w:pPr>
              <w:spacing w:line="380" w:lineRule="exact"/>
              <w:rPr>
                <w:rFonts w:ascii="宋体" w:hAnsi="宋体" w:cs="宋体"/>
                <w:color w:val="333333"/>
                <w:kern w:val="0"/>
                <w:sz w:val="24"/>
              </w:rPr>
            </w:pPr>
            <w:r>
              <w:rPr>
                <w:rFonts w:hint="eastAsia" w:ascii="宋体" w:hAnsi="宋体" w:cs="宋体"/>
                <w:color w:val="333333"/>
                <w:kern w:val="0"/>
                <w:sz w:val="24"/>
              </w:rPr>
              <w:t>投标人未被“中国政府采购网”（www.ccgp.gov.cn）列入政府采购严重违法。</w:t>
            </w:r>
          </w:p>
          <w:p w14:paraId="6751FDB8">
            <w:pPr>
              <w:spacing w:line="380" w:lineRule="exact"/>
              <w:rPr>
                <w:rFonts w:ascii="宋体" w:hAnsi="宋体" w:cs="宋体"/>
                <w:color w:val="333333"/>
                <w:kern w:val="0"/>
                <w:sz w:val="24"/>
              </w:rPr>
            </w:pPr>
            <w:r>
              <w:rPr>
                <w:rFonts w:hint="eastAsia" w:ascii="宋体" w:hAnsi="宋体" w:cs="宋体"/>
                <w:color w:val="333333"/>
                <w:kern w:val="0"/>
                <w:sz w:val="24"/>
              </w:rPr>
              <w:t>失信行为记录名单。网站截图盖单位公章装订在投标文件中</w:t>
            </w:r>
          </w:p>
        </w:tc>
      </w:tr>
    </w:tbl>
    <w:p w14:paraId="665F85B4">
      <w:pPr>
        <w:spacing w:line="380" w:lineRule="exact"/>
        <w:ind w:firstLine="360" w:firstLineChars="150"/>
        <w:rPr>
          <w:rFonts w:ascii="宋体" w:hAnsi="宋体" w:cs="宋体"/>
          <w:color w:val="333333"/>
          <w:kern w:val="0"/>
          <w:sz w:val="24"/>
        </w:rPr>
      </w:pPr>
      <w:r>
        <w:rPr>
          <w:rFonts w:hint="eastAsia" w:ascii="宋体" w:hAnsi="宋体" w:cs="宋体"/>
          <w:sz w:val="24"/>
        </w:rPr>
        <w:t>本次招标采用资质后审方式，在整个采购过程中，由采购人或招标代理机构</w:t>
      </w:r>
      <w:r>
        <w:rPr>
          <w:rFonts w:hint="eastAsia" w:ascii="宋体" w:hAnsi="宋体" w:cs="宋体"/>
          <w:color w:val="333333"/>
          <w:kern w:val="0"/>
          <w:sz w:val="24"/>
        </w:rPr>
        <w:t>组织评委</w:t>
      </w:r>
      <w:r>
        <w:rPr>
          <w:rFonts w:hint="eastAsia" w:ascii="宋体" w:hAnsi="宋体" w:cs="宋体"/>
          <w:sz w:val="24"/>
        </w:rPr>
        <w:t>对投标人的资质进行审查，若发现投标人的资质条件不符合磋商文件要求，可随时取消其投标或中标资格。</w:t>
      </w:r>
    </w:p>
    <w:p w14:paraId="799949B1">
      <w:pPr>
        <w:spacing w:line="380" w:lineRule="exact"/>
        <w:ind w:firstLine="480" w:firstLineChars="200"/>
        <w:rPr>
          <w:rFonts w:ascii="宋体" w:hAnsi="宋体" w:cs="宋体"/>
          <w:iCs/>
          <w:sz w:val="24"/>
          <w:u w:val="single"/>
        </w:rPr>
      </w:pPr>
      <w:r>
        <w:rPr>
          <w:rFonts w:hint="eastAsia" w:ascii="宋体" w:hAnsi="宋体" w:cs="宋体"/>
          <w:sz w:val="24"/>
        </w:rPr>
        <w:t>2.本项目的特定资格要求：</w:t>
      </w:r>
      <w:r>
        <w:rPr>
          <w:rFonts w:hint="eastAsia" w:ascii="宋体" w:hAnsi="宋体" w:cs="宋体"/>
          <w:sz w:val="24"/>
          <w:u w:val="single"/>
        </w:rPr>
        <w:t>见磋商文件。</w:t>
      </w:r>
    </w:p>
    <w:p w14:paraId="08ACFC72">
      <w:pPr>
        <w:pStyle w:val="3"/>
        <w:keepNext w:val="0"/>
        <w:keepLines w:val="0"/>
        <w:spacing w:before="0" w:after="0" w:line="380" w:lineRule="exact"/>
        <w:ind w:firstLine="480" w:firstLineChars="200"/>
        <w:rPr>
          <w:rFonts w:ascii="宋体" w:hAnsi="宋体" w:eastAsia="宋体" w:cs="宋体"/>
          <w:b w:val="0"/>
          <w:bCs w:val="0"/>
          <w:sz w:val="24"/>
          <w:szCs w:val="24"/>
        </w:rPr>
      </w:pPr>
      <w:r>
        <w:rPr>
          <w:rFonts w:hint="eastAsia" w:ascii="宋体" w:hAnsi="宋体" w:eastAsia="宋体" w:cs="宋体"/>
          <w:b w:val="0"/>
          <w:sz w:val="24"/>
          <w:szCs w:val="24"/>
        </w:rPr>
        <w:t>三、获取采</w:t>
      </w:r>
      <w:r>
        <w:rPr>
          <w:rFonts w:hint="eastAsia" w:ascii="宋体" w:hAnsi="宋体" w:eastAsia="宋体" w:cs="宋体"/>
          <w:b w:val="0"/>
          <w:bCs w:val="0"/>
          <w:sz w:val="24"/>
          <w:szCs w:val="24"/>
        </w:rPr>
        <w:t>购文件</w:t>
      </w:r>
      <w:bookmarkEnd w:id="8"/>
      <w:bookmarkEnd w:id="9"/>
      <w:bookmarkEnd w:id="10"/>
      <w:bookmarkEnd w:id="11"/>
    </w:p>
    <w:p w14:paraId="6F5D5FAD">
      <w:pPr>
        <w:spacing w:line="300" w:lineRule="auto"/>
        <w:ind w:firstLine="480" w:firstLineChars="200"/>
        <w:rPr>
          <w:rFonts w:ascii="宋体" w:hAnsi="宋体" w:cs="宋体"/>
          <w:bCs/>
          <w:sz w:val="24"/>
          <w:shd w:val="clear" w:color="auto" w:fill="FFFFFF"/>
        </w:rPr>
      </w:pPr>
      <w:r>
        <w:rPr>
          <w:rFonts w:hint="eastAsia" w:ascii="宋体" w:hAnsi="宋体" w:cs="宋体"/>
          <w:bCs/>
          <w:sz w:val="24"/>
          <w:shd w:val="clear" w:color="auto" w:fill="FFFFFF"/>
        </w:rPr>
        <w:t>（一）报名地点：盱眙县金桂大道格林春天9-1号，联系人：杨林 电话：15050808668。报名截止时间</w:t>
      </w:r>
      <w:r>
        <w:rPr>
          <w:rFonts w:hint="eastAsia" w:ascii="宋体" w:hAnsi="宋体" w:cs="宋体"/>
          <w:bCs/>
          <w:sz w:val="24"/>
          <w:highlight w:val="none"/>
          <w:shd w:val="clear" w:color="auto" w:fill="FFFFFF"/>
        </w:rPr>
        <w:t>2025年</w:t>
      </w:r>
      <w:r>
        <w:rPr>
          <w:rFonts w:hint="eastAsia" w:ascii="宋体" w:hAnsi="宋体" w:cs="宋体"/>
          <w:bCs/>
          <w:sz w:val="24"/>
          <w:highlight w:val="none"/>
          <w:shd w:val="clear" w:color="auto" w:fill="FFFFFF"/>
          <w:lang w:val="en-US" w:eastAsia="zh-CN"/>
        </w:rPr>
        <w:t>12</w:t>
      </w:r>
      <w:r>
        <w:rPr>
          <w:rFonts w:hint="eastAsia" w:ascii="宋体" w:hAnsi="宋体" w:cs="宋体"/>
          <w:bCs/>
          <w:sz w:val="24"/>
          <w:highlight w:val="none"/>
          <w:shd w:val="clear" w:color="auto" w:fill="FFFFFF"/>
        </w:rPr>
        <w:t>月</w:t>
      </w:r>
      <w:r>
        <w:rPr>
          <w:rFonts w:hint="eastAsia" w:ascii="宋体" w:hAnsi="宋体" w:cs="宋体"/>
          <w:bCs/>
          <w:sz w:val="24"/>
          <w:highlight w:val="none"/>
          <w:shd w:val="clear" w:color="auto" w:fill="FFFFFF"/>
          <w:lang w:val="en-US" w:eastAsia="zh-CN"/>
        </w:rPr>
        <w:t>19</w:t>
      </w:r>
      <w:r>
        <w:rPr>
          <w:rFonts w:hint="eastAsia" w:ascii="宋体" w:hAnsi="宋体" w:cs="宋体"/>
          <w:bCs/>
          <w:sz w:val="24"/>
          <w:highlight w:val="none"/>
          <w:shd w:val="clear" w:color="auto" w:fill="FFFFFF"/>
        </w:rPr>
        <w:t>日17：30前</w:t>
      </w:r>
      <w:r>
        <w:rPr>
          <w:rFonts w:hint="eastAsia" w:ascii="宋体" w:hAnsi="宋体" w:cs="宋体"/>
          <w:bCs/>
          <w:sz w:val="24"/>
          <w:shd w:val="clear" w:color="auto" w:fill="FFFFFF"/>
        </w:rPr>
        <w:t>。资料费人民币300元（无论中标结果如何不退），报名同时领取招标文件。</w:t>
      </w:r>
    </w:p>
    <w:p w14:paraId="6C2C6DE0">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报名汇款单位名称：中企华建友工程管理有限公司盱眙分公司</w:t>
      </w:r>
    </w:p>
    <w:p w14:paraId="7F80184B">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纳税人识别号：91320830569170442E</w:t>
      </w:r>
    </w:p>
    <w:p w14:paraId="1E3731B4">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开户行：江苏盱眙农村商业银行股份有限公司城中支行</w:t>
      </w:r>
    </w:p>
    <w:p w14:paraId="467A88DA">
      <w:pPr>
        <w:spacing w:line="300" w:lineRule="auto"/>
        <w:ind w:firstLine="480" w:firstLineChars="200"/>
        <w:rPr>
          <w:rFonts w:ascii="宋体" w:hAnsi="宋体" w:cs="宋体"/>
          <w:kern w:val="0"/>
          <w:sz w:val="24"/>
          <w:shd w:val="clear" w:color="auto" w:fill="FFFFFF"/>
        </w:rPr>
      </w:pPr>
      <w:r>
        <w:rPr>
          <w:rFonts w:hint="eastAsia" w:ascii="宋体" w:hAnsi="宋体" w:cs="宋体"/>
          <w:kern w:val="0"/>
          <w:sz w:val="24"/>
          <w:shd w:val="clear" w:color="auto" w:fill="FFFFFF"/>
        </w:rPr>
        <w:t>账号3208302901201000035631</w:t>
      </w:r>
    </w:p>
    <w:p w14:paraId="65E0F174">
      <w:pPr>
        <w:shd w:val="clear" w:color="auto" w:fill="FFFFFF"/>
        <w:tabs>
          <w:tab w:val="left" w:pos="6405"/>
        </w:tabs>
        <w:spacing w:line="440" w:lineRule="atLeast"/>
        <w:ind w:firstLine="240" w:firstLineChars="100"/>
        <w:jc w:val="left"/>
        <w:rPr>
          <w:rFonts w:ascii="宋体" w:hAnsi="宋体" w:cs="宋体"/>
          <w:bCs/>
          <w:sz w:val="24"/>
          <w:shd w:val="clear" w:color="auto" w:fill="FFFFFF"/>
        </w:rPr>
      </w:pPr>
      <w:r>
        <w:rPr>
          <w:rFonts w:hint="eastAsia" w:ascii="宋体" w:hAnsi="宋体" w:cs="宋体"/>
          <w:sz w:val="24"/>
          <w:shd w:val="clear" w:color="auto" w:fill="FFFFFF"/>
        </w:rPr>
        <w:t>（二）</w:t>
      </w:r>
      <w:r>
        <w:rPr>
          <w:rFonts w:hint="eastAsia" w:ascii="宋体" w:hAnsi="宋体" w:cs="宋体"/>
          <w:kern w:val="0"/>
          <w:sz w:val="24"/>
          <w:shd w:val="clear" w:color="auto" w:fill="FFFFFF"/>
        </w:rPr>
        <w:t>报名资料提供：</w:t>
      </w:r>
      <w:r>
        <w:rPr>
          <w:rFonts w:hint="eastAsia" w:ascii="宋体" w:hAnsi="宋体" w:cs="宋体"/>
          <w:bCs/>
          <w:sz w:val="24"/>
          <w:shd w:val="clear" w:color="auto" w:fill="FFFFFF"/>
        </w:rPr>
        <w:t>营业执照、授权书（注明联系人、电话、邮箱等信息）、报名费转账凭证和身份证复印件加盖公章。</w:t>
      </w:r>
    </w:p>
    <w:p w14:paraId="019BDC51">
      <w:pPr>
        <w:spacing w:line="320" w:lineRule="exact"/>
        <w:ind w:firstLine="480" w:firstLineChars="200"/>
        <w:rPr>
          <w:rFonts w:ascii="宋体" w:hAnsi="宋体" w:cs="宋体"/>
          <w:bCs/>
          <w:sz w:val="24"/>
          <w:shd w:val="clear" w:color="auto" w:fill="FFFFFF"/>
        </w:rPr>
      </w:pPr>
      <w:r>
        <w:rPr>
          <w:rFonts w:hint="eastAsia" w:ascii="宋体" w:hAnsi="宋体" w:cs="宋体"/>
          <w:bCs/>
          <w:sz w:val="24"/>
          <w:shd w:val="clear" w:color="auto" w:fill="FFFFFF"/>
        </w:rPr>
        <w:t>注：可以网络或电话报名但必须提供报名资料（未报名登记招标人或代理机构拒绝接受投标文件）,接受资料qq邮箱602339979@qq.com。</w:t>
      </w:r>
    </w:p>
    <w:p w14:paraId="535FB57D">
      <w:pPr>
        <w:spacing w:line="380" w:lineRule="exact"/>
        <w:ind w:firstLine="540"/>
        <w:rPr>
          <w:rFonts w:ascii="宋体" w:hAnsi="宋体" w:cs="宋体"/>
          <w:sz w:val="24"/>
          <w:u w:val="single"/>
        </w:rPr>
      </w:pPr>
      <w:r>
        <w:rPr>
          <w:rFonts w:hint="eastAsia" w:ascii="宋体" w:hAnsi="宋体" w:cs="宋体"/>
          <w:sz w:val="24"/>
        </w:rPr>
        <w:t>方式：电子数据</w:t>
      </w:r>
    </w:p>
    <w:p w14:paraId="19C260BE">
      <w:pPr>
        <w:pStyle w:val="3"/>
        <w:keepNext w:val="0"/>
        <w:keepLines w:val="0"/>
        <w:spacing w:before="0" w:after="0" w:line="380" w:lineRule="exact"/>
        <w:ind w:firstLine="480" w:firstLineChars="200"/>
        <w:rPr>
          <w:rFonts w:ascii="宋体" w:hAnsi="宋体" w:eastAsia="宋体" w:cs="宋体"/>
          <w:b w:val="0"/>
          <w:sz w:val="24"/>
          <w:szCs w:val="24"/>
        </w:rPr>
      </w:pPr>
      <w:bookmarkStart w:id="12" w:name="_Toc28359092"/>
      <w:bookmarkStart w:id="13" w:name="_Toc35393632"/>
      <w:bookmarkStart w:id="14" w:name="_Toc28359015"/>
      <w:bookmarkStart w:id="15" w:name="_Toc35393801"/>
      <w:r>
        <w:rPr>
          <w:rFonts w:hint="eastAsia" w:ascii="宋体" w:hAnsi="宋体" w:eastAsia="宋体" w:cs="宋体"/>
          <w:b w:val="0"/>
          <w:sz w:val="24"/>
          <w:szCs w:val="24"/>
        </w:rPr>
        <w:t>四、响应文件提交</w:t>
      </w:r>
      <w:bookmarkEnd w:id="12"/>
      <w:bookmarkEnd w:id="13"/>
      <w:bookmarkEnd w:id="14"/>
      <w:bookmarkEnd w:id="15"/>
    </w:p>
    <w:p w14:paraId="51062048">
      <w:pPr>
        <w:spacing w:line="440" w:lineRule="exact"/>
        <w:ind w:firstLine="480" w:firstLineChars="200"/>
        <w:rPr>
          <w:rFonts w:ascii="宋体" w:hAnsi="宋体" w:cs="宋体"/>
          <w:iCs/>
          <w:sz w:val="24"/>
          <w:highlight w:val="none"/>
          <w:u w:val="single"/>
        </w:rPr>
      </w:pPr>
      <w:r>
        <w:rPr>
          <w:rFonts w:hint="eastAsia" w:ascii="宋体" w:hAnsi="宋体" w:cs="宋体"/>
          <w:sz w:val="24"/>
        </w:rPr>
        <w:t>截止时间：</w:t>
      </w:r>
      <w:r>
        <w:rPr>
          <w:rFonts w:hint="eastAsia" w:ascii="宋体" w:hAnsi="宋体" w:cs="宋体"/>
          <w:sz w:val="24"/>
          <w:highlight w:val="none"/>
          <w:u w:val="single"/>
        </w:rPr>
        <w:t>2025</w:t>
      </w:r>
      <w:r>
        <w:rPr>
          <w:rFonts w:hint="eastAsia" w:ascii="宋体" w:hAnsi="宋体" w:cs="宋体"/>
          <w:bCs/>
          <w:sz w:val="24"/>
          <w:highlight w:val="none"/>
          <w:u w:val="single"/>
        </w:rPr>
        <w:t>年12月</w:t>
      </w:r>
      <w:r>
        <w:rPr>
          <w:rFonts w:hint="eastAsia" w:ascii="宋体" w:hAnsi="宋体" w:cs="宋体"/>
          <w:bCs/>
          <w:sz w:val="24"/>
          <w:highlight w:val="none"/>
          <w:u w:val="single"/>
          <w:lang w:val="en-US" w:eastAsia="zh-CN"/>
        </w:rPr>
        <w:t>26</w:t>
      </w:r>
      <w:r>
        <w:rPr>
          <w:rFonts w:hint="eastAsia" w:ascii="宋体" w:hAnsi="宋体" w:cs="宋体"/>
          <w:bCs/>
          <w:sz w:val="24"/>
          <w:highlight w:val="none"/>
          <w:u w:val="single"/>
        </w:rPr>
        <w:t>日9点00分</w:t>
      </w:r>
      <w:r>
        <w:rPr>
          <w:rFonts w:hint="eastAsia" w:ascii="宋体" w:hAnsi="宋体" w:cs="宋体"/>
          <w:bCs/>
          <w:sz w:val="24"/>
          <w:highlight w:val="none"/>
        </w:rPr>
        <w:t>（北京时间）</w:t>
      </w:r>
      <w:r>
        <w:rPr>
          <w:rFonts w:hint="eastAsia" w:ascii="宋体" w:hAnsi="宋体" w:cs="宋体"/>
          <w:iCs/>
          <w:sz w:val="24"/>
          <w:highlight w:val="none"/>
          <w:u w:val="single"/>
        </w:rPr>
        <w:t>（</w:t>
      </w:r>
      <w:r>
        <w:rPr>
          <w:rFonts w:hint="eastAsia" w:ascii="宋体" w:hAnsi="宋体" w:cs="宋体"/>
          <w:sz w:val="24"/>
          <w:highlight w:val="none"/>
          <w:u w:val="single"/>
        </w:rPr>
        <w:t>从磋商文件开始发出之日起至供应商提交首次响应文件截止之日止不得少于10日</w:t>
      </w:r>
      <w:r>
        <w:rPr>
          <w:rFonts w:hint="eastAsia" w:ascii="宋体" w:hAnsi="宋体" w:cs="宋体"/>
          <w:iCs/>
          <w:sz w:val="24"/>
          <w:highlight w:val="none"/>
          <w:u w:val="single"/>
        </w:rPr>
        <w:t>）</w:t>
      </w:r>
    </w:p>
    <w:p w14:paraId="73113A07">
      <w:pPr>
        <w:adjustRightInd w:val="0"/>
        <w:spacing w:line="380" w:lineRule="exact"/>
        <w:ind w:firstLine="480" w:firstLineChars="200"/>
        <w:jc w:val="left"/>
        <w:rPr>
          <w:rFonts w:ascii="宋体" w:hAnsi="宋体" w:cs="宋体"/>
          <w:sz w:val="24"/>
          <w:highlight w:val="none"/>
        </w:rPr>
      </w:pPr>
      <w:r>
        <w:rPr>
          <w:rFonts w:hint="eastAsia" w:ascii="宋体" w:hAnsi="宋体" w:cs="宋体"/>
          <w:sz w:val="24"/>
          <w:highlight w:val="none"/>
        </w:rPr>
        <w:t>地点：</w:t>
      </w:r>
      <w:bookmarkStart w:id="16" w:name="_Toc28359016"/>
      <w:bookmarkStart w:id="17" w:name="_Toc35393802"/>
      <w:bookmarkStart w:id="18" w:name="_Toc28359093"/>
      <w:bookmarkStart w:id="19" w:name="_Toc35393633"/>
      <w:r>
        <w:rPr>
          <w:rFonts w:hint="eastAsia" w:ascii="宋体" w:hAnsi="宋体" w:cs="宋体"/>
          <w:sz w:val="24"/>
          <w:highlight w:val="none"/>
        </w:rPr>
        <w:t>江苏盱眙农村商业银行（合欢大道2号7楼会议室）</w:t>
      </w:r>
    </w:p>
    <w:p w14:paraId="76EC1082">
      <w:pPr>
        <w:adjustRightInd w:val="0"/>
        <w:spacing w:line="380" w:lineRule="exact"/>
        <w:ind w:firstLine="480" w:firstLineChars="200"/>
        <w:jc w:val="left"/>
        <w:rPr>
          <w:rFonts w:ascii="宋体" w:hAnsi="宋体" w:cs="宋体"/>
          <w:b/>
          <w:sz w:val="24"/>
          <w:highlight w:val="none"/>
        </w:rPr>
      </w:pPr>
      <w:r>
        <w:rPr>
          <w:rFonts w:hint="eastAsia" w:ascii="宋体" w:hAnsi="宋体" w:cs="宋体"/>
          <w:sz w:val="24"/>
          <w:highlight w:val="none"/>
        </w:rPr>
        <w:t>五、开启（竞争性磋商方式必须填写）</w:t>
      </w:r>
      <w:bookmarkEnd w:id="16"/>
      <w:bookmarkEnd w:id="17"/>
      <w:bookmarkEnd w:id="18"/>
      <w:bookmarkEnd w:id="19"/>
    </w:p>
    <w:p w14:paraId="59422FB4">
      <w:pPr>
        <w:spacing w:line="380" w:lineRule="exact"/>
        <w:ind w:firstLine="480" w:firstLineChars="200"/>
        <w:rPr>
          <w:rFonts w:ascii="宋体" w:hAnsi="宋体" w:cs="宋体"/>
          <w:bCs/>
          <w:sz w:val="24"/>
          <w:u w:val="single"/>
        </w:rPr>
      </w:pPr>
      <w:r>
        <w:rPr>
          <w:rFonts w:hint="eastAsia" w:ascii="宋体" w:hAnsi="宋体" w:cs="宋体"/>
          <w:sz w:val="24"/>
          <w:highlight w:val="none"/>
        </w:rPr>
        <w:t>时间：</w:t>
      </w:r>
      <w:r>
        <w:rPr>
          <w:rFonts w:hint="eastAsia" w:ascii="宋体" w:hAnsi="宋体" w:cs="宋体"/>
          <w:sz w:val="24"/>
          <w:highlight w:val="none"/>
          <w:u w:val="single"/>
        </w:rPr>
        <w:t>2025</w:t>
      </w:r>
      <w:r>
        <w:rPr>
          <w:rFonts w:hint="eastAsia" w:ascii="宋体" w:hAnsi="宋体" w:cs="宋体"/>
          <w:bCs/>
          <w:sz w:val="24"/>
          <w:highlight w:val="none"/>
          <w:u w:val="single"/>
        </w:rPr>
        <w:t>年12月</w:t>
      </w:r>
      <w:r>
        <w:rPr>
          <w:rFonts w:hint="eastAsia" w:ascii="宋体" w:hAnsi="宋体" w:cs="宋体"/>
          <w:bCs/>
          <w:sz w:val="24"/>
          <w:highlight w:val="none"/>
          <w:u w:val="single"/>
          <w:lang w:val="en-US" w:eastAsia="zh-CN"/>
        </w:rPr>
        <w:t>26</w:t>
      </w:r>
      <w:r>
        <w:rPr>
          <w:rFonts w:hint="eastAsia" w:ascii="宋体" w:hAnsi="宋体" w:cs="宋体"/>
          <w:bCs/>
          <w:sz w:val="24"/>
          <w:highlight w:val="none"/>
          <w:u w:val="single"/>
        </w:rPr>
        <w:t>日9点00分</w:t>
      </w:r>
      <w:r>
        <w:rPr>
          <w:rFonts w:hint="eastAsia" w:ascii="宋体" w:hAnsi="宋体" w:cs="宋体"/>
          <w:bCs/>
          <w:sz w:val="24"/>
          <w:highlight w:val="none"/>
        </w:rPr>
        <w:t>（北京</w:t>
      </w:r>
      <w:r>
        <w:rPr>
          <w:rFonts w:hint="eastAsia" w:ascii="宋体" w:hAnsi="宋体" w:cs="宋体"/>
          <w:bCs/>
          <w:sz w:val="24"/>
        </w:rPr>
        <w:t>时间）</w:t>
      </w:r>
    </w:p>
    <w:p w14:paraId="5B2CFC8F">
      <w:pPr>
        <w:spacing w:line="380" w:lineRule="exact"/>
        <w:ind w:firstLine="480" w:firstLineChars="200"/>
        <w:rPr>
          <w:rFonts w:ascii="宋体" w:hAnsi="宋体" w:cs="宋体"/>
          <w:sz w:val="24"/>
        </w:rPr>
      </w:pPr>
      <w:r>
        <w:rPr>
          <w:rFonts w:hint="eastAsia" w:ascii="宋体" w:hAnsi="宋体" w:cs="宋体"/>
          <w:sz w:val="24"/>
        </w:rPr>
        <w:t>地点：江苏盱眙农村商业银行（合欢大道2号7楼会议室）</w:t>
      </w:r>
    </w:p>
    <w:p w14:paraId="67E1D090">
      <w:pPr>
        <w:pStyle w:val="64"/>
        <w:ind w:firstLine="480"/>
        <w:rPr>
          <w:rFonts w:ascii="宋体" w:hAnsi="宋体" w:eastAsia="宋体" w:cs="宋体"/>
          <w:sz w:val="24"/>
          <w:szCs w:val="24"/>
        </w:rPr>
      </w:pPr>
      <w:r>
        <w:rPr>
          <w:rFonts w:hint="eastAsia" w:ascii="宋体" w:hAnsi="宋体" w:eastAsia="宋体" w:cs="宋体"/>
          <w:sz w:val="24"/>
          <w:szCs w:val="24"/>
        </w:rPr>
        <w:t>逾期递交招标人或招标代理机构不予接收。</w:t>
      </w:r>
    </w:p>
    <w:p w14:paraId="5D0B239D">
      <w:pPr>
        <w:pStyle w:val="3"/>
        <w:keepNext w:val="0"/>
        <w:keepLines w:val="0"/>
        <w:spacing w:before="0" w:after="0" w:line="380" w:lineRule="exact"/>
        <w:ind w:firstLine="480" w:firstLineChars="200"/>
        <w:rPr>
          <w:rFonts w:ascii="宋体" w:hAnsi="宋体" w:eastAsia="宋体" w:cs="宋体"/>
          <w:b w:val="0"/>
          <w:sz w:val="24"/>
          <w:szCs w:val="24"/>
        </w:rPr>
      </w:pPr>
      <w:bookmarkStart w:id="20" w:name="_Toc28359094"/>
      <w:bookmarkStart w:id="21" w:name="_Toc28359017"/>
      <w:bookmarkStart w:id="22" w:name="_Toc35393803"/>
      <w:bookmarkStart w:id="23" w:name="_Toc35393634"/>
      <w:r>
        <w:rPr>
          <w:rFonts w:hint="eastAsia" w:ascii="宋体" w:hAnsi="宋体" w:eastAsia="宋体" w:cs="宋体"/>
          <w:b w:val="0"/>
          <w:sz w:val="24"/>
          <w:szCs w:val="24"/>
        </w:rPr>
        <w:t>六、公告期限</w:t>
      </w:r>
      <w:bookmarkEnd w:id="20"/>
      <w:bookmarkEnd w:id="21"/>
      <w:bookmarkEnd w:id="22"/>
      <w:bookmarkEnd w:id="23"/>
    </w:p>
    <w:p w14:paraId="0F622F2E">
      <w:pPr>
        <w:spacing w:line="380" w:lineRule="exact"/>
        <w:ind w:firstLine="480" w:firstLineChars="200"/>
        <w:rPr>
          <w:rFonts w:ascii="宋体" w:hAnsi="宋体" w:cs="宋体"/>
          <w:kern w:val="0"/>
          <w:sz w:val="24"/>
        </w:rPr>
      </w:pPr>
      <w:r>
        <w:rPr>
          <w:rFonts w:hint="eastAsia" w:ascii="宋体" w:hAnsi="宋体" w:cs="宋体"/>
          <w:kern w:val="0"/>
          <w:sz w:val="24"/>
        </w:rPr>
        <w:t>自本公告发布之日起5个工作日。</w:t>
      </w:r>
    </w:p>
    <w:p w14:paraId="44B8B5D4">
      <w:pPr>
        <w:pStyle w:val="3"/>
        <w:keepNext w:val="0"/>
        <w:keepLines w:val="0"/>
        <w:spacing w:before="0" w:after="0" w:line="380" w:lineRule="exact"/>
        <w:ind w:firstLine="480" w:firstLineChars="200"/>
        <w:rPr>
          <w:rFonts w:ascii="宋体" w:hAnsi="宋体" w:eastAsia="宋体" w:cs="宋体"/>
          <w:b w:val="0"/>
          <w:sz w:val="24"/>
          <w:szCs w:val="24"/>
        </w:rPr>
      </w:pPr>
      <w:bookmarkStart w:id="24" w:name="_Toc35393635"/>
      <w:bookmarkStart w:id="25" w:name="_Toc35393804"/>
      <w:r>
        <w:rPr>
          <w:rFonts w:hint="eastAsia" w:ascii="宋体" w:hAnsi="宋体" w:eastAsia="宋体" w:cs="宋体"/>
          <w:b w:val="0"/>
          <w:sz w:val="24"/>
          <w:szCs w:val="24"/>
        </w:rPr>
        <w:t>七、其他补充事宜</w:t>
      </w:r>
      <w:bookmarkEnd w:id="24"/>
      <w:bookmarkEnd w:id="25"/>
    </w:p>
    <w:p w14:paraId="7D244FBE">
      <w:pPr>
        <w:pStyle w:val="3"/>
        <w:keepNext w:val="0"/>
        <w:keepLines w:val="0"/>
        <w:spacing w:before="0" w:after="0" w:line="400" w:lineRule="exact"/>
        <w:ind w:firstLine="480" w:firstLineChars="200"/>
        <w:rPr>
          <w:rFonts w:ascii="宋体" w:hAnsi="宋体" w:eastAsia="宋体" w:cs="宋体"/>
          <w:sz w:val="24"/>
          <w:szCs w:val="24"/>
        </w:rPr>
      </w:pPr>
      <w:bookmarkStart w:id="26" w:name="_Toc28359095"/>
      <w:bookmarkStart w:id="27" w:name="_Toc28359018"/>
      <w:bookmarkStart w:id="28" w:name="_Toc35393805"/>
      <w:bookmarkStart w:id="29" w:name="_Toc35393636"/>
      <w:r>
        <w:rPr>
          <w:rFonts w:hint="eastAsia" w:ascii="宋体" w:hAnsi="宋体" w:eastAsia="宋体" w:cs="宋体"/>
          <w:b w:val="0"/>
          <w:bCs w:val="0"/>
          <w:sz w:val="24"/>
          <w:szCs w:val="24"/>
        </w:rPr>
        <w:t>1、投标保证金：</w:t>
      </w:r>
      <w:r>
        <w:rPr>
          <w:rFonts w:hint="eastAsia" w:ascii="宋体" w:hAnsi="宋体" w:eastAsia="宋体" w:cs="宋体"/>
          <w:bCs w:val="0"/>
          <w:sz w:val="24"/>
          <w:szCs w:val="24"/>
          <w:u w:val="single"/>
        </w:rPr>
        <w:t>无</w:t>
      </w:r>
      <w:r>
        <w:rPr>
          <w:rFonts w:hint="eastAsia" w:ascii="宋体" w:hAnsi="宋体" w:eastAsia="宋体" w:cs="宋体"/>
          <w:sz w:val="24"/>
          <w:szCs w:val="24"/>
        </w:rPr>
        <w:t>。</w:t>
      </w:r>
    </w:p>
    <w:p w14:paraId="75142208">
      <w:pPr>
        <w:shd w:val="clear" w:color="auto" w:fill="FFFFFF"/>
        <w:spacing w:line="400" w:lineRule="exact"/>
        <w:ind w:firstLine="480" w:firstLineChars="200"/>
        <w:jc w:val="left"/>
        <w:rPr>
          <w:rFonts w:ascii="宋体" w:hAnsi="宋体" w:cs="宋体"/>
          <w:bCs/>
          <w:sz w:val="24"/>
        </w:rPr>
      </w:pPr>
      <w:r>
        <w:rPr>
          <w:rFonts w:hint="eastAsia" w:ascii="宋体" w:hAnsi="宋体" w:cs="宋体"/>
          <w:bCs/>
          <w:sz w:val="24"/>
        </w:rPr>
        <w:t>2、履约保证金：无。</w:t>
      </w:r>
    </w:p>
    <w:p w14:paraId="206A9068">
      <w:pPr>
        <w:pStyle w:val="64"/>
        <w:widowControl w:val="0"/>
        <w:spacing w:before="0" w:after="0" w:line="380" w:lineRule="exact"/>
        <w:ind w:firstLine="480"/>
        <w:rPr>
          <w:rFonts w:ascii="宋体" w:hAnsi="宋体" w:eastAsia="宋体" w:cs="宋体"/>
          <w:color w:val="333333"/>
          <w:kern w:val="0"/>
          <w:sz w:val="24"/>
          <w:szCs w:val="24"/>
        </w:rPr>
      </w:pPr>
      <w:r>
        <w:rPr>
          <w:rFonts w:hint="eastAsia" w:ascii="宋体" w:hAnsi="宋体" w:eastAsia="宋体" w:cs="宋体"/>
          <w:color w:val="333333"/>
          <w:kern w:val="0"/>
          <w:sz w:val="24"/>
          <w:szCs w:val="24"/>
        </w:rPr>
        <w:t>八、凡对本次采购提出询问，请按以下方式联系。</w:t>
      </w:r>
      <w:bookmarkEnd w:id="26"/>
      <w:bookmarkEnd w:id="27"/>
      <w:bookmarkEnd w:id="28"/>
      <w:bookmarkEnd w:id="29"/>
    </w:p>
    <w:p w14:paraId="3332B73B">
      <w:pPr>
        <w:pStyle w:val="3"/>
        <w:keepNext w:val="0"/>
        <w:keepLines w:val="0"/>
        <w:spacing w:before="0" w:after="0" w:line="380" w:lineRule="exact"/>
        <w:ind w:firstLine="720" w:firstLineChars="300"/>
        <w:rPr>
          <w:rFonts w:ascii="宋体" w:hAnsi="宋体" w:eastAsia="宋体" w:cs="宋体"/>
          <w:b w:val="0"/>
          <w:sz w:val="24"/>
          <w:szCs w:val="24"/>
        </w:rPr>
      </w:pPr>
      <w:bookmarkStart w:id="30" w:name="_Toc28359096"/>
      <w:bookmarkStart w:id="31" w:name="_Toc35393806"/>
      <w:bookmarkStart w:id="32" w:name="_Toc35393637"/>
      <w:bookmarkStart w:id="33" w:name="_Toc28359019"/>
      <w:r>
        <w:rPr>
          <w:rFonts w:hint="eastAsia" w:ascii="宋体" w:hAnsi="宋体" w:eastAsia="宋体" w:cs="宋体"/>
          <w:b w:val="0"/>
          <w:sz w:val="24"/>
          <w:szCs w:val="24"/>
        </w:rPr>
        <w:t>1.采购人信息</w:t>
      </w:r>
      <w:bookmarkEnd w:id="30"/>
      <w:bookmarkEnd w:id="31"/>
      <w:bookmarkEnd w:id="32"/>
      <w:bookmarkEnd w:id="33"/>
    </w:p>
    <w:p w14:paraId="3BAC16EB">
      <w:pPr>
        <w:spacing w:line="380" w:lineRule="exact"/>
        <w:ind w:firstLine="720" w:firstLineChars="300"/>
        <w:jc w:val="left"/>
        <w:rPr>
          <w:rFonts w:ascii="宋体" w:hAnsi="宋体" w:cs="宋体"/>
          <w:sz w:val="24"/>
        </w:rPr>
      </w:pPr>
      <w:r>
        <w:rPr>
          <w:rFonts w:hint="eastAsia" w:ascii="宋体" w:hAnsi="宋体" w:cs="宋体"/>
          <w:sz w:val="24"/>
        </w:rPr>
        <w:t>名    称：江苏盱眙农村商业银行股份有限公司</w:t>
      </w:r>
    </w:p>
    <w:p w14:paraId="53F80FF5">
      <w:pPr>
        <w:spacing w:line="380" w:lineRule="exact"/>
        <w:ind w:firstLine="720" w:firstLineChars="300"/>
        <w:jc w:val="left"/>
        <w:rPr>
          <w:rFonts w:ascii="宋体" w:hAnsi="宋体" w:cs="宋体"/>
          <w:sz w:val="24"/>
        </w:rPr>
      </w:pPr>
      <w:r>
        <w:rPr>
          <w:rFonts w:hint="eastAsia" w:ascii="宋体" w:hAnsi="宋体" w:cs="宋体"/>
          <w:sz w:val="24"/>
        </w:rPr>
        <w:t>地    址：合欢大道2号</w:t>
      </w:r>
    </w:p>
    <w:p w14:paraId="6E891AFE">
      <w:pPr>
        <w:spacing w:line="360" w:lineRule="exact"/>
        <w:ind w:firstLine="720" w:firstLineChars="300"/>
        <w:rPr>
          <w:rFonts w:ascii="宋体" w:hAnsi="宋体" w:cs="宋体"/>
          <w:sz w:val="24"/>
        </w:rPr>
      </w:pPr>
      <w:r>
        <w:rPr>
          <w:rFonts w:hint="eastAsia" w:ascii="宋体" w:hAnsi="宋体" w:cs="宋体"/>
          <w:kern w:val="0"/>
          <w:sz w:val="24"/>
        </w:rPr>
        <w:t>联系人：</w:t>
      </w:r>
      <w:r>
        <w:rPr>
          <w:rFonts w:hint="eastAsia" w:ascii="宋体" w:hAnsi="宋体" w:cs="宋体"/>
          <w:sz w:val="24"/>
        </w:rPr>
        <w:t>吴倩  13901400658</w:t>
      </w:r>
    </w:p>
    <w:p w14:paraId="3D02074D">
      <w:pPr>
        <w:widowControl/>
        <w:spacing w:after="75" w:line="360" w:lineRule="atLeast"/>
        <w:ind w:firstLine="720" w:firstLineChars="300"/>
        <w:rPr>
          <w:rFonts w:hint="eastAsia" w:ascii="宋体" w:hAnsi="宋体" w:cs="宋体"/>
          <w:sz w:val="24"/>
        </w:rPr>
      </w:pPr>
      <w:r>
        <w:rPr>
          <w:rFonts w:hint="eastAsia" w:ascii="宋体" w:hAnsi="宋体" w:cs="宋体"/>
          <w:kern w:val="0"/>
          <w:sz w:val="24"/>
        </w:rPr>
        <w:t>联系</w:t>
      </w:r>
      <w:r>
        <w:rPr>
          <w:rFonts w:hint="eastAsia" w:ascii="宋体" w:hAnsi="宋体" w:cs="宋体"/>
          <w:sz w:val="24"/>
        </w:rPr>
        <w:t>人：陈哲</w:t>
      </w:r>
      <w:r>
        <w:rPr>
          <w:rFonts w:hint="eastAsia" w:ascii="宋体" w:hAnsi="宋体" w:cs="宋体"/>
          <w:sz w:val="24"/>
          <w:lang w:val="en-US" w:eastAsia="zh-CN"/>
        </w:rPr>
        <w:t xml:space="preserve">  </w:t>
      </w:r>
      <w:r>
        <w:rPr>
          <w:rFonts w:hint="eastAsia" w:ascii="宋体" w:hAnsi="宋体" w:cs="宋体"/>
          <w:sz w:val="24"/>
        </w:rPr>
        <w:t>15952383266 </w:t>
      </w:r>
    </w:p>
    <w:p w14:paraId="7864D9C1">
      <w:pPr>
        <w:pStyle w:val="3"/>
        <w:keepNext w:val="0"/>
        <w:keepLines w:val="0"/>
        <w:spacing w:before="0" w:after="0" w:line="380" w:lineRule="exact"/>
        <w:ind w:firstLine="720" w:firstLineChars="300"/>
        <w:rPr>
          <w:rFonts w:ascii="宋体" w:hAnsi="宋体" w:eastAsia="宋体" w:cs="宋体"/>
          <w:b w:val="0"/>
          <w:sz w:val="24"/>
          <w:szCs w:val="24"/>
        </w:rPr>
      </w:pPr>
      <w:bookmarkStart w:id="34" w:name="_Toc35393807"/>
      <w:bookmarkStart w:id="35" w:name="_Toc35393638"/>
      <w:bookmarkStart w:id="36" w:name="_Toc28359020"/>
      <w:bookmarkStart w:id="37" w:name="_Toc28359097"/>
      <w:r>
        <w:rPr>
          <w:rFonts w:hint="eastAsia" w:ascii="宋体" w:hAnsi="宋体" w:eastAsia="宋体" w:cs="宋体"/>
          <w:b w:val="0"/>
          <w:sz w:val="24"/>
          <w:szCs w:val="24"/>
        </w:rPr>
        <w:t>2.采购代理机构信息</w:t>
      </w:r>
      <w:bookmarkEnd w:id="34"/>
      <w:bookmarkEnd w:id="35"/>
      <w:bookmarkEnd w:id="36"/>
      <w:bookmarkEnd w:id="37"/>
      <w:bookmarkStart w:id="43" w:name="_GoBack"/>
      <w:bookmarkEnd w:id="43"/>
    </w:p>
    <w:p w14:paraId="5002BD58">
      <w:pPr>
        <w:spacing w:line="380" w:lineRule="exact"/>
        <w:ind w:firstLine="720" w:firstLineChars="300"/>
        <w:rPr>
          <w:rFonts w:ascii="宋体" w:hAnsi="宋体" w:cs="宋体"/>
          <w:sz w:val="24"/>
        </w:rPr>
      </w:pPr>
      <w:r>
        <w:rPr>
          <w:rFonts w:hint="eastAsia" w:ascii="宋体" w:hAnsi="宋体" w:cs="宋体"/>
          <w:sz w:val="24"/>
        </w:rPr>
        <w:t>名    称：中企华建友工程管理有限公司</w:t>
      </w:r>
    </w:p>
    <w:p w14:paraId="1426B91B">
      <w:pPr>
        <w:spacing w:line="380" w:lineRule="exact"/>
        <w:ind w:firstLine="720" w:firstLineChars="300"/>
        <w:rPr>
          <w:rFonts w:ascii="宋体" w:hAnsi="宋体" w:cs="宋体"/>
          <w:sz w:val="24"/>
        </w:rPr>
      </w:pPr>
      <w:r>
        <w:rPr>
          <w:rFonts w:hint="eastAsia" w:ascii="宋体" w:hAnsi="宋体" w:cs="宋体"/>
          <w:sz w:val="24"/>
        </w:rPr>
        <w:t>地址：格林春天</w:t>
      </w:r>
    </w:p>
    <w:p w14:paraId="2C97F602">
      <w:pPr>
        <w:spacing w:line="380" w:lineRule="exact"/>
        <w:ind w:firstLine="720" w:firstLineChars="300"/>
        <w:rPr>
          <w:rFonts w:ascii="宋体" w:hAnsi="宋体" w:cs="宋体"/>
          <w:sz w:val="24"/>
        </w:rPr>
      </w:pPr>
      <w:r>
        <w:rPr>
          <w:rFonts w:hint="eastAsia" w:ascii="宋体" w:hAnsi="宋体" w:cs="宋体"/>
          <w:sz w:val="24"/>
        </w:rPr>
        <w:t>联系方式：15050808668</w:t>
      </w:r>
    </w:p>
    <w:p w14:paraId="5CC58337">
      <w:pPr>
        <w:snapToGrid w:val="0"/>
        <w:spacing w:line="380" w:lineRule="exact"/>
        <w:ind w:firstLine="4800" w:firstLineChars="2000"/>
        <w:rPr>
          <w:rFonts w:ascii="宋体" w:hAnsi="宋体" w:cs="宋体"/>
          <w:bCs/>
          <w:kern w:val="0"/>
          <w:sz w:val="24"/>
          <w:lang w:val="zh-CN"/>
        </w:rPr>
      </w:pPr>
      <w:r>
        <w:rPr>
          <w:rFonts w:hint="eastAsia" w:ascii="宋体" w:hAnsi="宋体" w:cs="宋体"/>
          <w:sz w:val="24"/>
        </w:rPr>
        <w:t xml:space="preserve"> </w:t>
      </w:r>
    </w:p>
    <w:p w14:paraId="2047C2AE">
      <w:pPr>
        <w:wordWrap w:val="0"/>
        <w:snapToGrid w:val="0"/>
        <w:spacing w:line="500" w:lineRule="atLeast"/>
        <w:ind w:right="964" w:firstLine="4200" w:firstLineChars="1750"/>
        <w:rPr>
          <w:rFonts w:ascii="宋体" w:hAnsi="宋体" w:cs="宋体"/>
          <w:bCs/>
          <w:kern w:val="0"/>
          <w:sz w:val="24"/>
          <w:lang w:val="zh-CN"/>
        </w:rPr>
      </w:pPr>
      <w:r>
        <w:rPr>
          <w:rFonts w:hint="eastAsia" w:ascii="宋体" w:hAnsi="宋体" w:cs="宋体"/>
          <w:bCs/>
          <w:kern w:val="0"/>
          <w:sz w:val="24"/>
          <w:lang w:val="zh-CN"/>
        </w:rPr>
        <w:t>江苏盱眙农村商业银行股份有限公司</w:t>
      </w:r>
    </w:p>
    <w:p w14:paraId="7C043DB0">
      <w:pPr>
        <w:wordWrap w:val="0"/>
        <w:snapToGrid w:val="0"/>
        <w:spacing w:line="500" w:lineRule="atLeast"/>
        <w:ind w:right="964"/>
        <w:jc w:val="center"/>
        <w:rPr>
          <w:rFonts w:ascii="宋体" w:hAnsi="宋体" w:cs="宋体"/>
          <w:bCs/>
          <w:kern w:val="0"/>
          <w:sz w:val="24"/>
          <w:lang w:val="zh-CN"/>
        </w:rPr>
      </w:pPr>
      <w:r>
        <w:rPr>
          <w:rFonts w:hint="eastAsia" w:ascii="宋体" w:hAnsi="宋体" w:cs="宋体"/>
          <w:bCs/>
          <w:kern w:val="0"/>
          <w:sz w:val="24"/>
          <w:lang w:val="zh-CN"/>
        </w:rPr>
        <w:t xml:space="preserve">                              </w:t>
      </w:r>
      <w:r>
        <w:rPr>
          <w:rFonts w:hint="eastAsia" w:ascii="宋体" w:hAnsi="宋体" w:cs="宋体"/>
          <w:bCs/>
          <w:kern w:val="0"/>
          <w:sz w:val="24"/>
          <w:highlight w:val="none"/>
          <w:lang w:val="zh-CN"/>
        </w:rPr>
        <w:t xml:space="preserve">     2025年</w:t>
      </w:r>
      <w:r>
        <w:rPr>
          <w:rFonts w:hint="eastAsia" w:ascii="宋体" w:hAnsi="宋体" w:cs="宋体"/>
          <w:bCs/>
          <w:kern w:val="0"/>
          <w:sz w:val="24"/>
          <w:highlight w:val="none"/>
          <w:lang w:val="en-US" w:eastAsia="zh-CN"/>
        </w:rPr>
        <w:t>12</w:t>
      </w:r>
      <w:r>
        <w:rPr>
          <w:rFonts w:hint="eastAsia" w:ascii="宋体" w:hAnsi="宋体" w:cs="宋体"/>
          <w:bCs/>
          <w:kern w:val="0"/>
          <w:sz w:val="24"/>
          <w:highlight w:val="none"/>
        </w:rPr>
        <w:t>月</w:t>
      </w:r>
      <w:r>
        <w:rPr>
          <w:rFonts w:hint="eastAsia" w:ascii="宋体" w:hAnsi="宋体" w:cs="宋体"/>
          <w:bCs/>
          <w:kern w:val="0"/>
          <w:sz w:val="24"/>
          <w:highlight w:val="none"/>
          <w:lang w:val="en-US" w:eastAsia="zh-CN"/>
        </w:rPr>
        <w:t>15</w:t>
      </w:r>
      <w:r>
        <w:rPr>
          <w:rFonts w:hint="eastAsia" w:ascii="宋体" w:hAnsi="宋体" w:cs="宋体"/>
          <w:bCs/>
          <w:kern w:val="0"/>
          <w:sz w:val="24"/>
          <w:highlight w:val="none"/>
          <w:lang w:val="zh-CN"/>
        </w:rPr>
        <w:t>日</w:t>
      </w:r>
    </w:p>
    <w:p w14:paraId="49BF76C8">
      <w:pPr>
        <w:pStyle w:val="64"/>
        <w:ind w:firstLine="420"/>
        <w:rPr>
          <w:lang w:val="zh-CN"/>
        </w:rPr>
      </w:pPr>
    </w:p>
    <w:p w14:paraId="513CBB95">
      <w:pPr>
        <w:pStyle w:val="64"/>
        <w:ind w:firstLine="420"/>
        <w:rPr>
          <w:lang w:val="zh-CN"/>
        </w:rPr>
      </w:pPr>
    </w:p>
    <w:p w14:paraId="21F536AC">
      <w:pPr>
        <w:pStyle w:val="64"/>
        <w:ind w:firstLine="420"/>
        <w:rPr>
          <w:lang w:val="zh-CN"/>
        </w:rPr>
      </w:pPr>
    </w:p>
    <w:p w14:paraId="573F1B68">
      <w:pPr>
        <w:pStyle w:val="64"/>
        <w:ind w:firstLine="420"/>
        <w:rPr>
          <w:lang w:val="zh-CN"/>
        </w:rPr>
      </w:pPr>
    </w:p>
    <w:p w14:paraId="2B0B4417">
      <w:pPr>
        <w:pStyle w:val="64"/>
        <w:ind w:firstLine="420"/>
        <w:rPr>
          <w:lang w:val="zh-CN"/>
        </w:rPr>
      </w:pPr>
    </w:p>
    <w:p w14:paraId="6A4001FE">
      <w:pPr>
        <w:pStyle w:val="64"/>
        <w:ind w:firstLine="420"/>
        <w:rPr>
          <w:lang w:val="zh-CN"/>
        </w:rPr>
      </w:pPr>
    </w:p>
    <w:p w14:paraId="34994CBC">
      <w:pPr>
        <w:pStyle w:val="64"/>
        <w:ind w:firstLine="420"/>
        <w:rPr>
          <w:lang w:val="zh-CN"/>
        </w:rPr>
      </w:pPr>
    </w:p>
    <w:p w14:paraId="78218B81">
      <w:pPr>
        <w:pStyle w:val="64"/>
        <w:ind w:firstLine="420"/>
        <w:rPr>
          <w:lang w:val="zh-CN"/>
        </w:rPr>
      </w:pPr>
    </w:p>
    <w:p w14:paraId="39F1D172">
      <w:pPr>
        <w:pStyle w:val="64"/>
        <w:ind w:firstLine="420"/>
        <w:rPr>
          <w:lang w:val="zh-CN"/>
        </w:rPr>
      </w:pPr>
    </w:p>
    <w:p w14:paraId="0CFCC661">
      <w:pPr>
        <w:pStyle w:val="64"/>
        <w:ind w:firstLine="420"/>
        <w:rPr>
          <w:lang w:val="zh-CN"/>
        </w:rPr>
      </w:pPr>
    </w:p>
    <w:p w14:paraId="5853210C">
      <w:pPr>
        <w:pStyle w:val="64"/>
        <w:ind w:firstLine="420"/>
        <w:rPr>
          <w:lang w:val="zh-CN"/>
        </w:rPr>
      </w:pPr>
    </w:p>
    <w:p w14:paraId="0827B0D7">
      <w:pPr>
        <w:pStyle w:val="64"/>
        <w:ind w:firstLine="420"/>
        <w:rPr>
          <w:lang w:val="zh-CN"/>
        </w:rPr>
      </w:pPr>
    </w:p>
    <w:p w14:paraId="75B7D5A9">
      <w:pPr>
        <w:pStyle w:val="64"/>
        <w:ind w:firstLine="420"/>
        <w:rPr>
          <w:lang w:val="zh-CN"/>
        </w:rPr>
      </w:pPr>
    </w:p>
    <w:p w14:paraId="288C9F05">
      <w:pPr>
        <w:pStyle w:val="64"/>
        <w:ind w:firstLine="420"/>
        <w:rPr>
          <w:lang w:val="zh-CN"/>
        </w:rPr>
      </w:pPr>
    </w:p>
    <w:p w14:paraId="35BD4893">
      <w:pPr>
        <w:pStyle w:val="64"/>
        <w:ind w:firstLine="420"/>
        <w:rPr>
          <w:lang w:val="zh-CN"/>
        </w:rPr>
      </w:pPr>
    </w:p>
    <w:bookmarkEnd w:id="1"/>
    <w:bookmarkEnd w:id="3"/>
    <w:p w14:paraId="39960D5D">
      <w:pPr>
        <w:spacing w:line="440" w:lineRule="exact"/>
        <w:jc w:val="center"/>
        <w:rPr>
          <w:rFonts w:ascii="宋体" w:hAnsi="宋体" w:cs="宋体"/>
          <w:b/>
          <w:bCs/>
          <w:sz w:val="44"/>
          <w:szCs w:val="44"/>
        </w:rPr>
      </w:pPr>
      <w:r>
        <w:rPr>
          <w:rFonts w:hint="eastAsia" w:ascii="宋体" w:hAnsi="宋体" w:cs="宋体"/>
          <w:b/>
          <w:sz w:val="32"/>
          <w:szCs w:val="32"/>
        </w:rPr>
        <w:t>第二篇  供应商须知</w:t>
      </w:r>
    </w:p>
    <w:p w14:paraId="4C8B7A15">
      <w:pPr>
        <w:spacing w:line="440" w:lineRule="exact"/>
        <w:jc w:val="center"/>
        <w:rPr>
          <w:rFonts w:ascii="宋体" w:hAnsi="宋体" w:cs="宋体"/>
          <w:b/>
          <w:bCs/>
          <w:sz w:val="28"/>
          <w:szCs w:val="28"/>
        </w:rPr>
      </w:pPr>
      <w:r>
        <w:rPr>
          <w:rFonts w:hint="eastAsia" w:ascii="宋体" w:hAnsi="宋体" w:cs="宋体"/>
          <w:b/>
          <w:bCs/>
          <w:sz w:val="28"/>
          <w:szCs w:val="28"/>
        </w:rPr>
        <w:t>一、总    则</w:t>
      </w:r>
    </w:p>
    <w:p w14:paraId="1DD7548B">
      <w:pPr>
        <w:spacing w:line="440" w:lineRule="exact"/>
        <w:rPr>
          <w:rFonts w:ascii="宋体" w:hAnsi="宋体" w:cs="宋体"/>
          <w:b/>
          <w:bCs/>
          <w:sz w:val="28"/>
          <w:szCs w:val="28"/>
        </w:rPr>
      </w:pPr>
      <w:r>
        <w:rPr>
          <w:rFonts w:hint="eastAsia" w:ascii="宋体" w:hAnsi="宋体" w:cs="宋体"/>
          <w:b/>
          <w:bCs/>
          <w:sz w:val="28"/>
          <w:szCs w:val="28"/>
        </w:rPr>
        <w:t>1.适用范围</w:t>
      </w:r>
    </w:p>
    <w:p w14:paraId="68D314F6">
      <w:pPr>
        <w:spacing w:line="440" w:lineRule="exact"/>
        <w:rPr>
          <w:rFonts w:ascii="宋体" w:hAnsi="宋体" w:cs="宋体"/>
          <w:sz w:val="28"/>
          <w:szCs w:val="28"/>
        </w:rPr>
      </w:pPr>
      <w:r>
        <w:rPr>
          <w:rFonts w:hint="eastAsia" w:ascii="宋体" w:hAnsi="宋体" w:cs="宋体"/>
          <w:sz w:val="28"/>
          <w:szCs w:val="28"/>
        </w:rPr>
        <w:t xml:space="preserve"> </w:t>
      </w:r>
      <w:r>
        <w:rPr>
          <w:rFonts w:hint="eastAsia" w:ascii="宋体"/>
        </w:rPr>
        <w:t xml:space="preserve">  </w:t>
      </w:r>
      <w:r>
        <w:rPr>
          <w:rFonts w:hint="eastAsia" w:ascii="宋体"/>
          <w:sz w:val="24"/>
        </w:rPr>
        <w:t>1.1本磋商文件仅适用于本次磋商项目中所述项目的采购。</w:t>
      </w:r>
    </w:p>
    <w:p w14:paraId="04D8119D">
      <w:pPr>
        <w:spacing w:line="440" w:lineRule="exact"/>
        <w:jc w:val="left"/>
        <w:rPr>
          <w:rFonts w:ascii="宋体" w:hAnsi="宋体" w:cs="宋体"/>
          <w:b/>
          <w:bCs/>
          <w:sz w:val="28"/>
          <w:szCs w:val="28"/>
        </w:rPr>
      </w:pPr>
      <w:r>
        <w:rPr>
          <w:rFonts w:ascii="宋体" w:hAnsi="宋体" w:cs="宋体"/>
          <w:b/>
          <w:bCs/>
          <w:sz w:val="28"/>
          <w:szCs w:val="28"/>
        </w:rPr>
        <w:t>2.</w:t>
      </w:r>
      <w:r>
        <w:rPr>
          <w:rFonts w:hint="eastAsia" w:ascii="宋体" w:hAnsi="宋体" w:cs="宋体"/>
          <w:b/>
          <w:bCs/>
          <w:sz w:val="28"/>
          <w:szCs w:val="28"/>
        </w:rPr>
        <w:t>合格的磋商供应商</w:t>
      </w:r>
    </w:p>
    <w:p w14:paraId="70286B41">
      <w:pPr>
        <w:spacing w:line="440" w:lineRule="exact"/>
        <w:rPr>
          <w:rFonts w:ascii="宋体"/>
          <w:sz w:val="24"/>
        </w:rPr>
      </w:pPr>
      <w:r>
        <w:rPr>
          <w:rFonts w:hint="eastAsia" w:ascii="宋体" w:hAnsi="宋体" w:cs="宋体"/>
          <w:sz w:val="28"/>
          <w:szCs w:val="28"/>
        </w:rPr>
        <w:t xml:space="preserve">  </w:t>
      </w:r>
      <w:r>
        <w:rPr>
          <w:rFonts w:hint="eastAsia" w:ascii="宋体"/>
          <w:sz w:val="24"/>
        </w:rPr>
        <w:t xml:space="preserve"> 2.1磋商供应商必须符合第一篇磋商公告中磋商供应商资质要求；</w:t>
      </w:r>
    </w:p>
    <w:p w14:paraId="59A797CB">
      <w:pPr>
        <w:spacing w:line="440" w:lineRule="exact"/>
        <w:rPr>
          <w:rFonts w:ascii="宋体"/>
          <w:sz w:val="24"/>
        </w:rPr>
      </w:pPr>
      <w:r>
        <w:rPr>
          <w:rFonts w:hint="eastAsia" w:ascii="宋体"/>
          <w:sz w:val="24"/>
        </w:rPr>
        <w:t xml:space="preserve">   2.2凡有能力按照磋商文件规定的磋商供应商均为合格的磋商供应商。</w:t>
      </w:r>
    </w:p>
    <w:p w14:paraId="0D773844">
      <w:pPr>
        <w:spacing w:line="440" w:lineRule="exact"/>
        <w:rPr>
          <w:rFonts w:ascii="宋体" w:hAnsi="宋体" w:cs="宋体"/>
          <w:b/>
          <w:sz w:val="28"/>
          <w:szCs w:val="28"/>
        </w:rPr>
      </w:pPr>
      <w:r>
        <w:rPr>
          <w:rFonts w:hint="eastAsia" w:ascii="宋体" w:hAnsi="宋体" w:cs="宋体"/>
          <w:b/>
          <w:sz w:val="28"/>
          <w:szCs w:val="28"/>
        </w:rPr>
        <w:t>3.磋商费用</w:t>
      </w:r>
    </w:p>
    <w:p w14:paraId="31B6434C">
      <w:pPr>
        <w:pStyle w:val="64"/>
        <w:spacing w:line="440" w:lineRule="exact"/>
        <w:ind w:firstLine="480"/>
        <w:rPr>
          <w:rFonts w:hint="eastAsia" w:ascii="宋体" w:hAnsi="Times New Roman" w:eastAsia="宋体" w:cs="Times New Roman"/>
          <w:kern w:val="2"/>
          <w:sz w:val="24"/>
          <w:szCs w:val="24"/>
          <w:lang w:val="en-US" w:eastAsia="zh-CN" w:bidi="ar-SA"/>
        </w:rPr>
      </w:pPr>
      <w:r>
        <w:rPr>
          <w:rFonts w:hint="eastAsia" w:ascii="宋体" w:hAnsi="Times New Roman" w:eastAsia="宋体" w:cs="Times New Roman"/>
          <w:kern w:val="2"/>
          <w:sz w:val="24"/>
          <w:szCs w:val="24"/>
          <w:lang w:val="en-US" w:eastAsia="zh-CN" w:bidi="ar-SA"/>
        </w:rPr>
        <w:t>磋商供应商准备和参加磋商活动发生的所有费用自理。</w:t>
      </w:r>
    </w:p>
    <w:p w14:paraId="38409619">
      <w:pPr>
        <w:pStyle w:val="64"/>
        <w:spacing w:line="360" w:lineRule="exact"/>
        <w:ind w:left="0" w:leftChars="0" w:firstLine="0" w:firstLineChars="0"/>
        <w:rPr>
          <w:rFonts w:ascii="宋体" w:hAnsi="宋体" w:cs="宋体"/>
          <w:b/>
          <w:sz w:val="28"/>
          <w:szCs w:val="28"/>
        </w:rPr>
      </w:pPr>
      <w:r>
        <w:rPr>
          <w:rFonts w:hint="eastAsia" w:ascii="宋体" w:hAnsi="宋体" w:cs="宋体"/>
          <w:b/>
          <w:sz w:val="28"/>
          <w:szCs w:val="28"/>
        </w:rPr>
        <w:t>4.法律适用</w:t>
      </w:r>
    </w:p>
    <w:p w14:paraId="20CB0E9B">
      <w:pPr>
        <w:spacing w:line="440" w:lineRule="exact"/>
        <w:rPr>
          <w:rFonts w:ascii="宋体"/>
        </w:rPr>
      </w:pPr>
      <w:r>
        <w:rPr>
          <w:rFonts w:hint="eastAsia" w:ascii="宋体" w:hAnsi="宋体" w:cs="宋体"/>
          <w:sz w:val="28"/>
          <w:szCs w:val="28"/>
        </w:rPr>
        <w:t xml:space="preserve">   </w:t>
      </w:r>
      <w:r>
        <w:rPr>
          <w:rFonts w:hint="eastAsia" w:ascii="宋体"/>
          <w:sz w:val="24"/>
        </w:rPr>
        <w:t>4.1本次磋商活动及由本次磋商产生的合同受中华人民共和国法律、法规的制约和保护。</w:t>
      </w:r>
    </w:p>
    <w:p w14:paraId="28FC1BC3">
      <w:pPr>
        <w:spacing w:line="440" w:lineRule="exact"/>
        <w:rPr>
          <w:rFonts w:ascii="宋体" w:hAnsi="宋体" w:cs="宋体"/>
          <w:b/>
          <w:sz w:val="28"/>
          <w:szCs w:val="28"/>
        </w:rPr>
      </w:pPr>
      <w:r>
        <w:rPr>
          <w:rFonts w:hint="eastAsia" w:ascii="宋体" w:hAnsi="宋体" w:cs="宋体"/>
          <w:b/>
          <w:sz w:val="28"/>
          <w:szCs w:val="28"/>
        </w:rPr>
        <w:t>5.磋商文件的约束力</w:t>
      </w:r>
    </w:p>
    <w:p w14:paraId="6AC1DE4E">
      <w:pPr>
        <w:spacing w:line="440" w:lineRule="exact"/>
        <w:rPr>
          <w:rFonts w:ascii="宋体"/>
          <w:sz w:val="24"/>
        </w:rPr>
      </w:pPr>
      <w:r>
        <w:rPr>
          <w:rFonts w:hint="eastAsia" w:ascii="宋体" w:hAnsi="宋体" w:cs="宋体"/>
          <w:sz w:val="28"/>
          <w:szCs w:val="28"/>
        </w:rPr>
        <w:t xml:space="preserve"> </w:t>
      </w:r>
      <w:r>
        <w:rPr>
          <w:rFonts w:hint="eastAsia" w:ascii="宋体"/>
        </w:rPr>
        <w:t xml:space="preserve"> </w:t>
      </w:r>
      <w:r>
        <w:rPr>
          <w:rFonts w:hint="eastAsia" w:ascii="宋体"/>
          <w:sz w:val="24"/>
        </w:rPr>
        <w:t xml:space="preserve"> 5.1磋商供应商一旦参加磋商，即被认为接受了本磋商文件中的所有要求和规定。</w:t>
      </w:r>
    </w:p>
    <w:p w14:paraId="2A7A47B4">
      <w:pPr>
        <w:spacing w:line="440" w:lineRule="exact"/>
        <w:jc w:val="center"/>
        <w:rPr>
          <w:rFonts w:ascii="宋体" w:hAnsi="宋体" w:cs="宋体"/>
          <w:b/>
          <w:bCs/>
          <w:sz w:val="28"/>
          <w:szCs w:val="28"/>
        </w:rPr>
      </w:pPr>
    </w:p>
    <w:p w14:paraId="301D976A">
      <w:pPr>
        <w:pStyle w:val="64"/>
        <w:ind w:firstLine="420"/>
      </w:pPr>
    </w:p>
    <w:p w14:paraId="7A467ADF">
      <w:pPr>
        <w:spacing w:line="440" w:lineRule="exact"/>
        <w:jc w:val="center"/>
        <w:rPr>
          <w:rFonts w:ascii="宋体" w:hAnsi="宋体" w:cs="宋体"/>
          <w:b/>
          <w:bCs/>
          <w:sz w:val="28"/>
          <w:szCs w:val="28"/>
        </w:rPr>
      </w:pPr>
      <w:r>
        <w:rPr>
          <w:rFonts w:hint="eastAsia" w:ascii="宋体" w:hAnsi="宋体" w:cs="宋体"/>
          <w:b/>
          <w:bCs/>
          <w:sz w:val="28"/>
          <w:szCs w:val="28"/>
        </w:rPr>
        <w:t>二、磋商文件</w:t>
      </w:r>
    </w:p>
    <w:p w14:paraId="7CE4B425">
      <w:pPr>
        <w:spacing w:line="420" w:lineRule="exact"/>
        <w:rPr>
          <w:rFonts w:ascii="宋体" w:hAnsi="宋体" w:cs="宋体"/>
          <w:b/>
          <w:bCs/>
          <w:sz w:val="28"/>
          <w:szCs w:val="28"/>
        </w:rPr>
      </w:pPr>
      <w:r>
        <w:rPr>
          <w:rFonts w:hint="eastAsia" w:ascii="宋体" w:hAnsi="宋体" w:cs="宋体"/>
          <w:b/>
          <w:bCs/>
          <w:sz w:val="28"/>
          <w:szCs w:val="28"/>
        </w:rPr>
        <w:t>6.磋商文件的组成</w:t>
      </w:r>
    </w:p>
    <w:p w14:paraId="6CDFE873">
      <w:pPr>
        <w:spacing w:line="420" w:lineRule="exact"/>
        <w:rPr>
          <w:rFonts w:ascii="宋体"/>
          <w:sz w:val="24"/>
        </w:rPr>
      </w:pPr>
      <w:r>
        <w:rPr>
          <w:rFonts w:hint="eastAsia" w:ascii="宋体" w:hAnsi="宋体" w:cs="宋体"/>
          <w:sz w:val="28"/>
          <w:szCs w:val="28"/>
        </w:rPr>
        <w:t xml:space="preserve">   </w:t>
      </w:r>
      <w:r>
        <w:rPr>
          <w:rFonts w:hint="eastAsia" w:ascii="宋体"/>
          <w:sz w:val="24"/>
        </w:rPr>
        <w:t>6.1磋商文件包括：</w:t>
      </w:r>
    </w:p>
    <w:p w14:paraId="64E56B1A">
      <w:pPr>
        <w:spacing w:line="420" w:lineRule="exact"/>
        <w:rPr>
          <w:rFonts w:ascii="宋体"/>
          <w:sz w:val="24"/>
        </w:rPr>
      </w:pPr>
      <w:r>
        <w:rPr>
          <w:rFonts w:hint="eastAsia" w:ascii="宋体"/>
          <w:sz w:val="24"/>
        </w:rPr>
        <w:t xml:space="preserve">     第一篇  竞争性磋商邀请函</w:t>
      </w:r>
    </w:p>
    <w:p w14:paraId="504AB0DE">
      <w:pPr>
        <w:spacing w:line="420" w:lineRule="exact"/>
        <w:rPr>
          <w:rFonts w:ascii="宋体"/>
          <w:sz w:val="24"/>
        </w:rPr>
      </w:pPr>
      <w:r>
        <w:rPr>
          <w:rFonts w:hint="eastAsia" w:ascii="宋体"/>
          <w:sz w:val="24"/>
        </w:rPr>
        <w:t>第二篇  供应商须知</w:t>
      </w:r>
    </w:p>
    <w:p w14:paraId="5C70081E">
      <w:pPr>
        <w:spacing w:line="420" w:lineRule="exact"/>
        <w:rPr>
          <w:rFonts w:ascii="宋体"/>
          <w:sz w:val="24"/>
        </w:rPr>
      </w:pPr>
      <w:r>
        <w:rPr>
          <w:rFonts w:hint="eastAsia" w:ascii="宋体"/>
          <w:sz w:val="24"/>
        </w:rPr>
        <w:t xml:space="preserve">     第三篇  招标项目需求</w:t>
      </w:r>
    </w:p>
    <w:p w14:paraId="50F44E13">
      <w:pPr>
        <w:spacing w:line="420" w:lineRule="exact"/>
        <w:rPr>
          <w:rFonts w:ascii="宋体"/>
          <w:sz w:val="24"/>
        </w:rPr>
      </w:pPr>
      <w:r>
        <w:rPr>
          <w:rFonts w:hint="eastAsia" w:ascii="宋体"/>
          <w:sz w:val="24"/>
        </w:rPr>
        <w:t xml:space="preserve">     第四篇  合同条款及前附表</w:t>
      </w:r>
    </w:p>
    <w:p w14:paraId="47640D50">
      <w:pPr>
        <w:spacing w:line="420" w:lineRule="exact"/>
        <w:rPr>
          <w:rFonts w:ascii="宋体"/>
          <w:sz w:val="24"/>
        </w:rPr>
      </w:pPr>
      <w:r>
        <w:rPr>
          <w:rFonts w:hint="eastAsia" w:ascii="宋体"/>
          <w:sz w:val="24"/>
        </w:rPr>
        <w:t xml:space="preserve">     第五篇  响应文件格式</w:t>
      </w:r>
    </w:p>
    <w:p w14:paraId="645F8ACE">
      <w:pPr>
        <w:spacing w:line="420" w:lineRule="exact"/>
        <w:rPr>
          <w:rFonts w:ascii="宋体"/>
          <w:sz w:val="24"/>
        </w:rPr>
      </w:pPr>
      <w:r>
        <w:rPr>
          <w:rFonts w:hint="eastAsia" w:ascii="宋体"/>
          <w:sz w:val="24"/>
        </w:rPr>
        <w:t xml:space="preserve">   6.2磋商供应商被视为充分熟悉本磋商采购项目所在地与履行合同有关的各种情况，包括自然环境、气候条件、劳动力及公用设施等，本磋商文件不再对上述情况进行描述。</w:t>
      </w:r>
    </w:p>
    <w:p w14:paraId="405CEB62">
      <w:pPr>
        <w:spacing w:line="420" w:lineRule="exact"/>
        <w:rPr>
          <w:rFonts w:ascii="宋体"/>
          <w:sz w:val="24"/>
        </w:rPr>
      </w:pPr>
      <w:r>
        <w:rPr>
          <w:rFonts w:hint="eastAsia" w:ascii="宋体"/>
          <w:sz w:val="24"/>
        </w:rPr>
        <w:t xml:space="preserve">   6.3磋商供应商必须认真阅读磋商文件的所有条款、文件及表格格式。</w:t>
      </w:r>
    </w:p>
    <w:p w14:paraId="47BEF3AE">
      <w:pPr>
        <w:spacing w:line="420" w:lineRule="exact"/>
        <w:rPr>
          <w:rFonts w:ascii="宋体" w:hAnsi="宋体" w:cs="宋体"/>
          <w:b/>
          <w:bCs/>
          <w:sz w:val="28"/>
          <w:szCs w:val="28"/>
        </w:rPr>
      </w:pPr>
      <w:r>
        <w:rPr>
          <w:rFonts w:hint="eastAsia" w:ascii="宋体" w:hAnsi="宋体" w:cs="宋体"/>
          <w:b/>
          <w:bCs/>
          <w:sz w:val="28"/>
          <w:szCs w:val="28"/>
        </w:rPr>
        <w:t>7.磋商文件的澄清</w:t>
      </w:r>
    </w:p>
    <w:p w14:paraId="03973554">
      <w:pPr>
        <w:spacing w:line="420" w:lineRule="exact"/>
        <w:rPr>
          <w:rFonts w:ascii="宋体"/>
          <w:sz w:val="24"/>
        </w:rPr>
      </w:pPr>
      <w:r>
        <w:rPr>
          <w:rFonts w:hint="eastAsia" w:ascii="宋体" w:hAnsi="宋体" w:cs="宋体"/>
          <w:sz w:val="28"/>
          <w:szCs w:val="28"/>
        </w:rPr>
        <w:t xml:space="preserve">   </w:t>
      </w:r>
      <w:r>
        <w:rPr>
          <w:rFonts w:hint="eastAsia" w:ascii="宋体"/>
          <w:sz w:val="24"/>
        </w:rPr>
        <w:t>7.1任何对磋商文件要求进行澄清的磋商供应商，均应在法律规定的时间内按磋商文件要求提出（逾期递交对磋商文件要求进行澄清的采购人将不予收理）。</w:t>
      </w:r>
    </w:p>
    <w:p w14:paraId="5AE58632">
      <w:pPr>
        <w:pStyle w:val="15"/>
        <w:spacing w:line="420" w:lineRule="exact"/>
        <w:rPr>
          <w:rFonts w:ascii="宋体"/>
          <w:sz w:val="24"/>
        </w:rPr>
      </w:pPr>
      <w:r>
        <w:rPr>
          <w:rFonts w:hint="eastAsia" w:ascii="宋体"/>
          <w:sz w:val="24"/>
        </w:rPr>
        <w:t xml:space="preserve">   7.2提交首次响应文件截止之日前，采购人、采购代理机构可主动地或在解答供应商提出的澄清问题时对磋商文件进行必要的澄清或者修改，澄清或者修改的内容作为磋商文件的组成部分。澄清或者修改的内容可能影响响应文件编制的，采购人、采购代理机构应当在提交首次响应文件截止之日3个工作日前，以电子数据形式通知潜在磋商文件的供应商，并在江苏盱眙农村商业银行网站上公告。不足3个工作日的，应当顺延提交首次响应文件截止之日。</w:t>
      </w:r>
    </w:p>
    <w:p w14:paraId="325A0C39">
      <w:pPr>
        <w:pStyle w:val="15"/>
        <w:spacing w:line="420" w:lineRule="exact"/>
        <w:rPr>
          <w:rFonts w:ascii="宋体"/>
          <w:sz w:val="24"/>
        </w:rPr>
      </w:pPr>
      <w:r>
        <w:rPr>
          <w:rFonts w:hint="eastAsia" w:ascii="宋体"/>
          <w:sz w:val="24"/>
        </w:rPr>
        <w:t xml:space="preserve">   7.3供应商应在磋商文件递交截止时间前连续登</w:t>
      </w:r>
      <w:r>
        <w:rPr>
          <w:rFonts w:hint="eastAsia" w:ascii="宋体"/>
          <w:sz w:val="24"/>
          <w:lang w:val="en-US" w:eastAsia="zh-CN"/>
        </w:rPr>
        <w:t>录</w:t>
      </w:r>
      <w:r>
        <w:rPr>
          <w:rFonts w:hint="eastAsia" w:ascii="宋体"/>
          <w:sz w:val="24"/>
        </w:rPr>
        <w:t>江苏盱眙农村商业银行网站查看采购信息的更正或修改，因供应商未能登陆网站查看，责任由供应商自己负责。</w:t>
      </w:r>
    </w:p>
    <w:p w14:paraId="4393BB4D">
      <w:pPr>
        <w:spacing w:line="420" w:lineRule="exact"/>
        <w:rPr>
          <w:rFonts w:ascii="宋体" w:hAnsi="宋体" w:cs="宋体"/>
          <w:b/>
          <w:bCs/>
          <w:sz w:val="28"/>
          <w:szCs w:val="28"/>
        </w:rPr>
      </w:pPr>
      <w:r>
        <w:rPr>
          <w:rFonts w:hint="eastAsia" w:ascii="宋体" w:hAnsi="宋体" w:cs="宋体"/>
          <w:b/>
          <w:bCs/>
          <w:sz w:val="28"/>
          <w:szCs w:val="28"/>
        </w:rPr>
        <w:t>8.磋商文件的补充</w:t>
      </w:r>
    </w:p>
    <w:p w14:paraId="15855596">
      <w:pPr>
        <w:spacing w:line="420" w:lineRule="exact"/>
        <w:rPr>
          <w:rFonts w:ascii="宋体"/>
          <w:sz w:val="24"/>
        </w:rPr>
      </w:pPr>
      <w:r>
        <w:rPr>
          <w:rFonts w:hint="eastAsia" w:ascii="宋体" w:hAnsi="宋体" w:cs="宋体"/>
          <w:sz w:val="28"/>
          <w:szCs w:val="28"/>
        </w:rPr>
        <w:t xml:space="preserve">   </w:t>
      </w:r>
      <w:r>
        <w:rPr>
          <w:rFonts w:hint="eastAsia" w:ascii="宋体"/>
          <w:sz w:val="24"/>
        </w:rPr>
        <w:t>8.1在磋商时间前，由于需对磋商供应商的提问进行澄清或其它任何原因，采购人可对磋商文件用补充文件的方式进行修正。</w:t>
      </w:r>
    </w:p>
    <w:p w14:paraId="37312273">
      <w:pPr>
        <w:pStyle w:val="15"/>
        <w:spacing w:line="420" w:lineRule="exact"/>
        <w:rPr>
          <w:rFonts w:ascii="宋体"/>
          <w:sz w:val="24"/>
        </w:rPr>
      </w:pPr>
      <w:r>
        <w:rPr>
          <w:rFonts w:hint="eastAsia" w:ascii="宋体"/>
          <w:sz w:val="24"/>
        </w:rPr>
        <w:t xml:space="preserve">   8.2 对磋商文件的补充，采购人将在江苏盱眙农村商业银行网进行公布。补充文件将被作为磋商文件的组成部分，对所有磋商</w:t>
      </w:r>
      <w:r>
        <w:rPr>
          <w:rFonts w:hint="eastAsia" w:ascii="宋体"/>
          <w:sz w:val="24"/>
          <w:lang w:val="en-US" w:eastAsia="zh-CN"/>
        </w:rPr>
        <w:t>供应商具</w:t>
      </w:r>
      <w:r>
        <w:rPr>
          <w:rFonts w:hint="eastAsia" w:ascii="宋体"/>
          <w:sz w:val="24"/>
        </w:rPr>
        <w:t>有约束力。</w:t>
      </w:r>
    </w:p>
    <w:p w14:paraId="73037023">
      <w:pPr>
        <w:spacing w:line="420" w:lineRule="exact"/>
        <w:rPr>
          <w:rFonts w:ascii="宋体"/>
          <w:sz w:val="24"/>
        </w:rPr>
      </w:pPr>
      <w:r>
        <w:rPr>
          <w:rFonts w:hint="eastAsia" w:ascii="宋体"/>
          <w:sz w:val="24"/>
        </w:rPr>
        <w:t xml:space="preserve">   8.3磋商供应商须实时连续跟踪网页界面的更新，熟悉项目情况，未实时跟踪网页界面的更新其责任由磋商供应商自行承担。</w:t>
      </w:r>
    </w:p>
    <w:p w14:paraId="65F1F12A">
      <w:pPr>
        <w:pStyle w:val="15"/>
        <w:spacing w:line="420" w:lineRule="exact"/>
        <w:rPr>
          <w:rFonts w:ascii="宋体"/>
          <w:sz w:val="24"/>
        </w:rPr>
      </w:pPr>
      <w:r>
        <w:rPr>
          <w:rFonts w:hint="eastAsia" w:ascii="宋体"/>
          <w:sz w:val="24"/>
        </w:rPr>
        <w:t xml:space="preserve">   8.4为使磋商供应商有足够的时间，对磋商文件的补充要求修正响应文件，采购人有权酌情推迟响应文件递交的截止日期和磋商时间，并将此变更在江苏盱眙农村商业银行网上进行公告。</w:t>
      </w:r>
    </w:p>
    <w:p w14:paraId="0DBDBB3E">
      <w:pPr>
        <w:spacing w:line="440" w:lineRule="exact"/>
        <w:jc w:val="center"/>
        <w:rPr>
          <w:rFonts w:ascii="宋体" w:hAnsi="宋体" w:cs="宋体"/>
          <w:b/>
          <w:bCs/>
          <w:sz w:val="28"/>
          <w:szCs w:val="28"/>
        </w:rPr>
      </w:pPr>
    </w:p>
    <w:p w14:paraId="42C4EAFA">
      <w:pPr>
        <w:spacing w:line="440" w:lineRule="exact"/>
        <w:jc w:val="center"/>
        <w:rPr>
          <w:rFonts w:ascii="宋体" w:hAnsi="宋体" w:cs="宋体"/>
          <w:b/>
          <w:bCs/>
          <w:sz w:val="28"/>
          <w:szCs w:val="28"/>
        </w:rPr>
      </w:pPr>
      <w:r>
        <w:rPr>
          <w:rFonts w:hint="eastAsia" w:ascii="宋体" w:hAnsi="宋体" w:cs="宋体"/>
          <w:b/>
          <w:bCs/>
          <w:sz w:val="28"/>
          <w:szCs w:val="28"/>
        </w:rPr>
        <w:t>三、 响应文件</w:t>
      </w:r>
    </w:p>
    <w:p w14:paraId="17774E2B">
      <w:pPr>
        <w:pStyle w:val="64"/>
        <w:ind w:firstLine="420"/>
      </w:pPr>
    </w:p>
    <w:p w14:paraId="56FE76D3">
      <w:pPr>
        <w:spacing w:line="440" w:lineRule="exact"/>
        <w:rPr>
          <w:rFonts w:ascii="宋体" w:hAnsi="宋体" w:cs="宋体"/>
          <w:b/>
          <w:bCs/>
          <w:sz w:val="28"/>
          <w:szCs w:val="28"/>
        </w:rPr>
      </w:pPr>
      <w:r>
        <w:rPr>
          <w:rFonts w:hint="eastAsia" w:ascii="宋体" w:hAnsi="宋体" w:cs="宋体"/>
          <w:b/>
          <w:bCs/>
          <w:sz w:val="28"/>
          <w:szCs w:val="28"/>
        </w:rPr>
        <w:t>9.响应文件的语言及度量衡</w:t>
      </w:r>
    </w:p>
    <w:p w14:paraId="7B21671F">
      <w:pPr>
        <w:spacing w:line="440" w:lineRule="exact"/>
        <w:rPr>
          <w:rFonts w:ascii="宋体"/>
          <w:sz w:val="24"/>
        </w:rPr>
      </w:pPr>
      <w:r>
        <w:rPr>
          <w:rFonts w:hint="eastAsia" w:ascii="宋体" w:hAnsi="宋体" w:cs="宋体"/>
          <w:sz w:val="28"/>
          <w:szCs w:val="28"/>
        </w:rPr>
        <w:t xml:space="preserve"> </w:t>
      </w:r>
      <w:r>
        <w:rPr>
          <w:rFonts w:hint="eastAsia" w:ascii="宋体"/>
          <w:sz w:val="24"/>
        </w:rPr>
        <w:t xml:space="preserve"> 9.1磋商供应商以及响应文件与采购人之间的所有书面往来都应用中文书写（请标注页码）。</w:t>
      </w:r>
    </w:p>
    <w:p w14:paraId="4B7E14BC">
      <w:pPr>
        <w:spacing w:line="440" w:lineRule="exact"/>
        <w:rPr>
          <w:rFonts w:ascii="宋体"/>
          <w:sz w:val="24"/>
        </w:rPr>
      </w:pPr>
      <w:r>
        <w:rPr>
          <w:rFonts w:hint="eastAsia" w:ascii="宋体"/>
          <w:sz w:val="24"/>
        </w:rPr>
        <w:t xml:space="preserve">  9.2除技术性能另有规定外，响应文件所使用的度量衡单位，均须采用国家法定计量单位。</w:t>
      </w:r>
    </w:p>
    <w:p w14:paraId="3EEE4F88">
      <w:pPr>
        <w:spacing w:line="440" w:lineRule="exact"/>
        <w:rPr>
          <w:rFonts w:ascii="宋体" w:hAnsi="宋体" w:cs="宋体"/>
          <w:b/>
          <w:bCs/>
          <w:sz w:val="28"/>
          <w:szCs w:val="28"/>
        </w:rPr>
      </w:pPr>
      <w:r>
        <w:rPr>
          <w:rFonts w:hint="eastAsia" w:ascii="宋体" w:hAnsi="宋体" w:cs="宋体"/>
          <w:b/>
          <w:bCs/>
          <w:sz w:val="28"/>
          <w:szCs w:val="28"/>
        </w:rPr>
        <w:t>10.响应文件的组成</w:t>
      </w:r>
    </w:p>
    <w:p w14:paraId="576DE913">
      <w:pPr>
        <w:spacing w:line="440" w:lineRule="exact"/>
        <w:ind w:firstLine="480" w:firstLineChars="200"/>
        <w:rPr>
          <w:rFonts w:ascii="宋体"/>
          <w:sz w:val="24"/>
        </w:rPr>
      </w:pPr>
      <w:r>
        <w:rPr>
          <w:rFonts w:hint="eastAsia" w:ascii="宋体"/>
          <w:sz w:val="24"/>
        </w:rPr>
        <w:t>10.1磋商供应商编写的响应文件应按磋商文件第五篇“响应文件格式”中的要求进行编写。</w:t>
      </w:r>
    </w:p>
    <w:p w14:paraId="2E93617C">
      <w:pPr>
        <w:spacing w:line="440" w:lineRule="exact"/>
        <w:rPr>
          <w:rFonts w:ascii="宋体" w:hAnsi="宋体" w:cs="宋体"/>
          <w:b/>
          <w:bCs/>
          <w:sz w:val="28"/>
          <w:szCs w:val="28"/>
        </w:rPr>
      </w:pPr>
      <w:r>
        <w:rPr>
          <w:rFonts w:hint="eastAsia" w:ascii="宋体" w:hAnsi="宋体" w:cs="宋体"/>
          <w:b/>
          <w:bCs/>
          <w:sz w:val="28"/>
          <w:szCs w:val="28"/>
        </w:rPr>
        <w:t>11.磋商报价</w:t>
      </w:r>
    </w:p>
    <w:p w14:paraId="670F94E1">
      <w:pPr>
        <w:spacing w:line="440" w:lineRule="exact"/>
        <w:rPr>
          <w:rFonts w:ascii="宋体"/>
          <w:sz w:val="24"/>
        </w:rPr>
      </w:pPr>
      <w:r>
        <w:rPr>
          <w:rFonts w:hint="eastAsia" w:ascii="宋体" w:hAnsi="宋体" w:cs="宋体"/>
          <w:sz w:val="28"/>
          <w:szCs w:val="28"/>
        </w:rPr>
        <w:t xml:space="preserve">   </w:t>
      </w:r>
      <w:r>
        <w:rPr>
          <w:rFonts w:hint="eastAsia" w:ascii="宋体"/>
          <w:sz w:val="24"/>
        </w:rPr>
        <w:t>11</w:t>
      </w:r>
      <w:r>
        <w:rPr>
          <w:rFonts w:ascii="宋体"/>
          <w:sz w:val="24"/>
        </w:rPr>
        <w:t>.1</w:t>
      </w:r>
      <w:r>
        <w:rPr>
          <w:rFonts w:hint="eastAsia" w:ascii="宋体"/>
          <w:sz w:val="24"/>
        </w:rPr>
        <w:t>价格部分是对全部货物（采购安装）价格构成的说明，文件如没有特别说明的话，对每一项仅接受一个价格。</w:t>
      </w:r>
    </w:p>
    <w:p w14:paraId="5BCF7CD7">
      <w:pPr>
        <w:spacing w:line="440" w:lineRule="exact"/>
        <w:ind w:firstLine="480" w:firstLineChars="200"/>
        <w:rPr>
          <w:rFonts w:ascii="宋体"/>
          <w:sz w:val="24"/>
        </w:rPr>
      </w:pPr>
      <w:r>
        <w:rPr>
          <w:rFonts w:hint="eastAsia" w:ascii="宋体"/>
          <w:sz w:val="24"/>
        </w:rPr>
        <w:t>11.2报价为全费用报价（固定单价合同），磋商文件所确定的采购范围内的全部</w:t>
      </w:r>
      <w:r>
        <w:rPr>
          <w:rFonts w:hint="eastAsia" w:ascii="宋体"/>
          <w:sz w:val="24"/>
          <w:lang w:val="en-US" w:eastAsia="zh-CN"/>
        </w:rPr>
        <w:t>服务</w:t>
      </w:r>
      <w:r>
        <w:rPr>
          <w:rFonts w:hint="eastAsia" w:ascii="宋体"/>
          <w:sz w:val="24"/>
        </w:rPr>
        <w:t>价格体现。</w:t>
      </w:r>
      <w:r>
        <w:rPr>
          <w:rFonts w:ascii="宋体"/>
          <w:sz w:val="24"/>
        </w:rPr>
        <w:t>因此供应商的报价应包括所提供</w:t>
      </w:r>
      <w:r>
        <w:rPr>
          <w:rFonts w:hint="eastAsia" w:ascii="宋体"/>
          <w:sz w:val="24"/>
          <w:lang w:val="en-US" w:eastAsia="zh-CN"/>
        </w:rPr>
        <w:t>服务</w:t>
      </w:r>
      <w:r>
        <w:rPr>
          <w:rFonts w:ascii="宋体"/>
          <w:sz w:val="24"/>
        </w:rPr>
        <w:t>本身、</w:t>
      </w:r>
      <w:r>
        <w:rPr>
          <w:rFonts w:hint="eastAsia" w:ascii="宋体"/>
          <w:sz w:val="24"/>
        </w:rPr>
        <w:t>制作</w:t>
      </w:r>
      <w:r>
        <w:rPr>
          <w:rFonts w:ascii="宋体"/>
          <w:sz w:val="24"/>
        </w:rPr>
        <w:t>费、服务费</w:t>
      </w:r>
      <w:r>
        <w:rPr>
          <w:rFonts w:hint="eastAsia" w:ascii="宋体"/>
          <w:sz w:val="24"/>
        </w:rPr>
        <w:t>、软件、硬件、</w:t>
      </w:r>
      <w:r>
        <w:rPr>
          <w:rFonts w:ascii="宋体"/>
          <w:sz w:val="24"/>
        </w:rPr>
        <w:t>培训费、人员费用、设备费用、交通费用、差旅费用、投标、代理及评审费用、多次专家论证</w:t>
      </w:r>
      <w:r>
        <w:rPr>
          <w:rFonts w:hint="eastAsia" w:ascii="宋体"/>
          <w:sz w:val="24"/>
        </w:rPr>
        <w:t>、</w:t>
      </w:r>
      <w:r>
        <w:rPr>
          <w:rFonts w:ascii="宋体"/>
          <w:sz w:val="24"/>
        </w:rPr>
        <w:t>税费及其他有关的为完成本项目发生的所有费用，竞争性磋商文件中另有规定的除外</w:t>
      </w:r>
      <w:r>
        <w:rPr>
          <w:rFonts w:hint="eastAsia" w:ascii="宋体"/>
          <w:sz w:val="24"/>
        </w:rPr>
        <w:t>。</w:t>
      </w:r>
    </w:p>
    <w:p w14:paraId="41F51CAC">
      <w:pPr>
        <w:spacing w:line="440" w:lineRule="exact"/>
        <w:ind w:firstLine="480" w:firstLineChars="200"/>
        <w:rPr>
          <w:rFonts w:ascii="宋体"/>
          <w:sz w:val="24"/>
        </w:rPr>
      </w:pPr>
      <w:r>
        <w:rPr>
          <w:rFonts w:hint="eastAsia" w:ascii="宋体"/>
          <w:sz w:val="24"/>
        </w:rPr>
        <w:t>11.3供应商的任何错漏、优惠、竞争性报价不得作为减轻责任、减少服务、增加收费、降低质量的理由。</w:t>
      </w:r>
    </w:p>
    <w:p w14:paraId="7359C0C8">
      <w:pPr>
        <w:spacing w:line="440" w:lineRule="exact"/>
        <w:ind w:firstLine="480" w:firstLineChars="200"/>
        <w:rPr>
          <w:rFonts w:ascii="宋体"/>
          <w:sz w:val="24"/>
        </w:rPr>
      </w:pPr>
      <w:r>
        <w:rPr>
          <w:rFonts w:hint="eastAsia" w:ascii="宋体"/>
          <w:sz w:val="24"/>
        </w:rPr>
        <w:t>11.4供应商应仔细阅读和理解招标文件中有关项目需求、义务、付款方式、付款条件和时间进度安排，充分考虑到市场价格变动以及项目实施过程中的不可预见因素，结合供应商自身条件进行报价，一旦成交，总价格不变。如果有漏项，视同让利。</w:t>
      </w:r>
    </w:p>
    <w:p w14:paraId="5545B1BD">
      <w:pPr>
        <w:spacing w:line="440" w:lineRule="exact"/>
        <w:rPr>
          <w:rFonts w:ascii="宋体"/>
          <w:sz w:val="24"/>
        </w:rPr>
      </w:pPr>
      <w:r>
        <w:rPr>
          <w:rFonts w:hint="eastAsia" w:ascii="宋体"/>
          <w:sz w:val="24"/>
        </w:rPr>
        <w:t xml:space="preserve">   11.2磋商供应商整个编制过程中的各种材料价格上涨的市场风险及国家政策性调整费用均应计入报价，以后不做调整。</w:t>
      </w:r>
    </w:p>
    <w:p w14:paraId="6DC08DE1">
      <w:pPr>
        <w:spacing w:line="440" w:lineRule="exact"/>
        <w:ind w:firstLine="240" w:firstLineChars="100"/>
        <w:rPr>
          <w:rFonts w:ascii="宋体"/>
          <w:sz w:val="24"/>
        </w:rPr>
      </w:pPr>
      <w:r>
        <w:rPr>
          <w:rFonts w:hint="eastAsia" w:ascii="宋体"/>
          <w:sz w:val="24"/>
        </w:rPr>
        <w:t xml:space="preserve">  11.3本次项目不接受备选的磋商方案或有选择的报价。</w:t>
      </w:r>
    </w:p>
    <w:p w14:paraId="0F0FD200">
      <w:pPr>
        <w:spacing w:line="440" w:lineRule="exact"/>
        <w:rPr>
          <w:rFonts w:ascii="宋体" w:hAnsi="宋体" w:cs="宋体"/>
          <w:b/>
          <w:bCs/>
          <w:sz w:val="28"/>
          <w:szCs w:val="28"/>
        </w:rPr>
      </w:pPr>
      <w:r>
        <w:rPr>
          <w:rFonts w:hint="eastAsia" w:ascii="宋体" w:hAnsi="宋体" w:cs="宋体"/>
          <w:b/>
          <w:bCs/>
          <w:sz w:val="28"/>
          <w:szCs w:val="28"/>
        </w:rPr>
        <w:t>12.报价货币</w:t>
      </w:r>
    </w:p>
    <w:p w14:paraId="6CF7F4C8">
      <w:pPr>
        <w:spacing w:line="440" w:lineRule="exact"/>
        <w:rPr>
          <w:rFonts w:ascii="宋体"/>
          <w:sz w:val="24"/>
        </w:rPr>
      </w:pPr>
      <w:r>
        <w:rPr>
          <w:rFonts w:hint="eastAsia" w:ascii="宋体" w:hAnsi="宋体" w:cs="宋体"/>
          <w:sz w:val="28"/>
          <w:szCs w:val="28"/>
        </w:rPr>
        <w:t xml:space="preserve">   </w:t>
      </w:r>
      <w:r>
        <w:rPr>
          <w:rFonts w:hint="eastAsia" w:ascii="宋体"/>
          <w:sz w:val="24"/>
        </w:rPr>
        <w:t>12.1本次磋商项目报价均须以人民币为货币单位。</w:t>
      </w:r>
    </w:p>
    <w:p w14:paraId="7F7691FE">
      <w:pPr>
        <w:spacing w:line="440" w:lineRule="exact"/>
        <w:rPr>
          <w:rFonts w:ascii="宋体" w:hAnsi="宋体" w:cs="宋体"/>
          <w:b/>
          <w:bCs/>
          <w:sz w:val="28"/>
          <w:szCs w:val="28"/>
        </w:rPr>
      </w:pPr>
      <w:r>
        <w:rPr>
          <w:rFonts w:hint="eastAsia" w:ascii="宋体" w:hAnsi="宋体" w:cs="宋体"/>
          <w:b/>
          <w:bCs/>
          <w:sz w:val="28"/>
          <w:szCs w:val="28"/>
        </w:rPr>
        <w:t>13.磋商有效期</w:t>
      </w:r>
    </w:p>
    <w:p w14:paraId="02CBA880">
      <w:pPr>
        <w:spacing w:line="440" w:lineRule="exact"/>
        <w:rPr>
          <w:rFonts w:ascii="宋体"/>
          <w:sz w:val="24"/>
        </w:rPr>
      </w:pPr>
      <w:r>
        <w:rPr>
          <w:rFonts w:hint="eastAsia" w:ascii="宋体" w:hAnsi="宋体" w:cs="宋体"/>
          <w:sz w:val="28"/>
          <w:szCs w:val="28"/>
        </w:rPr>
        <w:t xml:space="preserve">   </w:t>
      </w:r>
      <w:r>
        <w:rPr>
          <w:rFonts w:hint="eastAsia" w:ascii="宋体"/>
          <w:sz w:val="24"/>
        </w:rPr>
        <w:t>13.1磋商有效期为从磋商之日起计算的90天，磋商有效期短于此规定的响应文件将被视为非响应磋商而予以拒绝。</w:t>
      </w:r>
    </w:p>
    <w:p w14:paraId="5A0BE747">
      <w:pPr>
        <w:spacing w:line="440" w:lineRule="exact"/>
        <w:rPr>
          <w:rFonts w:ascii="宋体"/>
          <w:sz w:val="24"/>
        </w:rPr>
      </w:pPr>
      <w:r>
        <w:rPr>
          <w:rFonts w:hint="eastAsia" w:ascii="宋体"/>
          <w:sz w:val="24"/>
        </w:rPr>
        <w:t xml:space="preserve">   13.2在特殊情况下，采购人于原磋商有效期满之前，可向磋商供应商提出延长有效期的要求，这种要求与答复均应采用电子数据或书面形式如信件、传真或电报等。磋商供应商可以拒绝接受采购人的这种要求而放弃磋商，同意延长的磋商供应商既不能要求也不允许修改其响应文件。磋商有效期约束的所有权利与义务均延长至新的有效期。</w:t>
      </w:r>
    </w:p>
    <w:p w14:paraId="15B47227">
      <w:pPr>
        <w:spacing w:line="440" w:lineRule="exact"/>
        <w:rPr>
          <w:rFonts w:ascii="宋体" w:hAnsi="宋体" w:cs="宋体"/>
          <w:b/>
          <w:bCs/>
          <w:sz w:val="28"/>
          <w:szCs w:val="28"/>
        </w:rPr>
      </w:pPr>
      <w:r>
        <w:rPr>
          <w:rFonts w:hint="eastAsia" w:ascii="宋体" w:hAnsi="宋体" w:cs="宋体"/>
          <w:b/>
          <w:bCs/>
          <w:sz w:val="28"/>
          <w:szCs w:val="28"/>
        </w:rPr>
        <w:t>14.</w:t>
      </w:r>
      <w:r>
        <w:rPr>
          <w:rFonts w:hint="eastAsia" w:ascii="宋体" w:hAnsi="宋体" w:cs="宋体"/>
          <w:b/>
          <w:sz w:val="28"/>
          <w:szCs w:val="28"/>
        </w:rPr>
        <w:t xml:space="preserve"> 响应文件份数和签署</w:t>
      </w:r>
    </w:p>
    <w:p w14:paraId="468C071A">
      <w:pPr>
        <w:spacing w:line="440" w:lineRule="exact"/>
        <w:ind w:firstLine="480" w:firstLineChars="200"/>
        <w:jc w:val="left"/>
        <w:rPr>
          <w:rFonts w:ascii="宋体"/>
          <w:sz w:val="24"/>
        </w:rPr>
      </w:pPr>
      <w:r>
        <w:rPr>
          <w:rFonts w:hint="eastAsia" w:ascii="宋体"/>
          <w:sz w:val="24"/>
        </w:rPr>
        <w:t>14.1现场递交制作的纸质申请文件装订成册一正二副，密封装订，申请文件应胶装装订成册，外密封套加盖单位公章注明项目名称、编号、供应商单位名称 。未按要求密封递交的申请文件，采购人将不予接受。</w:t>
      </w:r>
    </w:p>
    <w:p w14:paraId="04F94E7C">
      <w:pPr>
        <w:spacing w:line="440" w:lineRule="exact"/>
        <w:jc w:val="center"/>
        <w:rPr>
          <w:rFonts w:ascii="宋体" w:hAnsi="宋体" w:cs="宋体"/>
          <w:b/>
          <w:bCs/>
          <w:sz w:val="28"/>
          <w:szCs w:val="28"/>
        </w:rPr>
      </w:pPr>
      <w:r>
        <w:rPr>
          <w:rFonts w:hint="eastAsia" w:ascii="宋体" w:hAnsi="宋体" w:cs="宋体"/>
          <w:b/>
          <w:bCs/>
          <w:sz w:val="28"/>
          <w:szCs w:val="28"/>
        </w:rPr>
        <w:t>四、 响应文件的递交</w:t>
      </w:r>
    </w:p>
    <w:p w14:paraId="6B449CF2">
      <w:pPr>
        <w:spacing w:line="440" w:lineRule="exact"/>
        <w:rPr>
          <w:rFonts w:ascii="宋体" w:hAnsi="宋体" w:cs="宋体"/>
          <w:b/>
          <w:bCs/>
          <w:sz w:val="28"/>
          <w:szCs w:val="28"/>
        </w:rPr>
      </w:pPr>
      <w:r>
        <w:rPr>
          <w:rFonts w:hint="eastAsia" w:ascii="宋体" w:hAnsi="宋体" w:cs="宋体"/>
          <w:b/>
          <w:bCs/>
          <w:sz w:val="28"/>
          <w:szCs w:val="28"/>
        </w:rPr>
        <w:t xml:space="preserve">15.响应文件递交 </w:t>
      </w:r>
    </w:p>
    <w:p w14:paraId="4245EF11">
      <w:pPr>
        <w:adjustRightInd w:val="0"/>
        <w:spacing w:line="380" w:lineRule="exact"/>
        <w:ind w:firstLine="480" w:firstLineChars="200"/>
        <w:jc w:val="left"/>
        <w:rPr>
          <w:rFonts w:ascii="宋体"/>
          <w:sz w:val="24"/>
        </w:rPr>
      </w:pPr>
      <w:r>
        <w:rPr>
          <w:rFonts w:hint="eastAsia" w:ascii="宋体"/>
          <w:sz w:val="24"/>
        </w:rPr>
        <w:t xml:space="preserve"> 15.1现场递交。</w:t>
      </w:r>
    </w:p>
    <w:p w14:paraId="0FF14276">
      <w:pPr>
        <w:spacing w:line="440" w:lineRule="exact"/>
        <w:rPr>
          <w:rFonts w:ascii="宋体" w:hAnsi="宋体" w:cs="宋体"/>
          <w:b/>
          <w:bCs/>
          <w:sz w:val="28"/>
          <w:szCs w:val="28"/>
        </w:rPr>
      </w:pPr>
      <w:r>
        <w:rPr>
          <w:rFonts w:hint="eastAsia" w:ascii="宋体" w:hAnsi="宋体" w:cs="宋体"/>
          <w:b/>
          <w:bCs/>
          <w:sz w:val="28"/>
          <w:szCs w:val="28"/>
        </w:rPr>
        <w:t>16.响应文件递交截止时间</w:t>
      </w:r>
    </w:p>
    <w:p w14:paraId="358F4FD5">
      <w:pPr>
        <w:spacing w:line="440" w:lineRule="exact"/>
        <w:ind w:firstLine="540"/>
        <w:rPr>
          <w:rFonts w:ascii="宋体"/>
          <w:sz w:val="24"/>
        </w:rPr>
      </w:pPr>
      <w:r>
        <w:rPr>
          <w:rFonts w:hint="eastAsia" w:ascii="宋体"/>
          <w:sz w:val="24"/>
        </w:rPr>
        <w:t>16.1递交的时间不得迟于磋商文件中规定的截止时间。</w:t>
      </w:r>
    </w:p>
    <w:p w14:paraId="55F6633D">
      <w:pPr>
        <w:spacing w:line="440" w:lineRule="exact"/>
        <w:ind w:firstLine="540"/>
        <w:rPr>
          <w:rFonts w:ascii="宋体"/>
          <w:sz w:val="24"/>
        </w:rPr>
      </w:pPr>
      <w:r>
        <w:rPr>
          <w:rFonts w:hint="eastAsia" w:ascii="宋体"/>
          <w:sz w:val="24"/>
        </w:rPr>
        <w:t>16.2采购人可以按磋商文件规定，通过修改磋商文件自行决定酌情延长响应文件截止时间。在此情况下，磋商供应商的所有权利和义务以及受制的截止日期均应以延长后新的截止日期为准。</w:t>
      </w:r>
    </w:p>
    <w:p w14:paraId="6849F23A">
      <w:pPr>
        <w:autoSpaceDE w:val="0"/>
        <w:autoSpaceDN w:val="0"/>
        <w:adjustRightInd w:val="0"/>
        <w:spacing w:line="440" w:lineRule="exact"/>
        <w:jc w:val="left"/>
        <w:rPr>
          <w:rFonts w:ascii="宋体" w:hAnsi="宋体" w:cs="宋体"/>
          <w:b/>
          <w:bCs/>
          <w:sz w:val="28"/>
          <w:szCs w:val="28"/>
        </w:rPr>
      </w:pPr>
      <w:r>
        <w:rPr>
          <w:rFonts w:hint="eastAsia" w:ascii="宋体" w:hAnsi="宋体" w:cs="宋体"/>
          <w:b/>
          <w:bCs/>
          <w:sz w:val="28"/>
          <w:szCs w:val="28"/>
        </w:rPr>
        <w:t>17.迟交的响应文件</w:t>
      </w:r>
    </w:p>
    <w:p w14:paraId="77DE7774">
      <w:pPr>
        <w:spacing w:line="440" w:lineRule="exact"/>
        <w:ind w:firstLine="540"/>
        <w:rPr>
          <w:rFonts w:ascii="宋体"/>
          <w:sz w:val="24"/>
        </w:rPr>
      </w:pPr>
      <w:r>
        <w:rPr>
          <w:rFonts w:hint="eastAsia" w:ascii="宋体"/>
          <w:sz w:val="24"/>
        </w:rPr>
        <w:t>17.1采购人将拒绝并原封退回在响应文件递交截止时间后收到的任何响应文件。</w:t>
      </w:r>
    </w:p>
    <w:p w14:paraId="2C999BEC">
      <w:pPr>
        <w:spacing w:line="440" w:lineRule="exact"/>
        <w:rPr>
          <w:rFonts w:ascii="宋体" w:hAnsi="宋体" w:cs="宋体"/>
          <w:b/>
          <w:bCs/>
          <w:sz w:val="28"/>
          <w:szCs w:val="28"/>
        </w:rPr>
      </w:pPr>
      <w:r>
        <w:rPr>
          <w:rFonts w:hint="eastAsia" w:ascii="宋体" w:hAnsi="宋体" w:cs="宋体"/>
          <w:b/>
          <w:bCs/>
          <w:sz w:val="28"/>
          <w:szCs w:val="28"/>
        </w:rPr>
        <w:t>18.响应文件的修改和撤回</w:t>
      </w:r>
    </w:p>
    <w:p w14:paraId="1BFF6D1A">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18.1磋商供应商在提交响应文件后，可对其进行修改或撤回其响应文件，但必须在规定的磋商开始时间前以书面形式送达指定地点，该通知必须由供应商法定代表人或其授权委托人签署。</w:t>
      </w:r>
    </w:p>
    <w:p w14:paraId="3109330C">
      <w:pPr>
        <w:spacing w:line="440" w:lineRule="exact"/>
        <w:ind w:firstLine="540"/>
        <w:rPr>
          <w:rFonts w:ascii="宋体"/>
          <w:sz w:val="24"/>
        </w:rPr>
      </w:pPr>
      <w:r>
        <w:rPr>
          <w:rFonts w:hint="eastAsia" w:ascii="宋体"/>
          <w:sz w:val="24"/>
        </w:rPr>
        <w:t xml:space="preserve"> 18.2磋商供应商不得在截止时间以后随意修改响应文件。</w:t>
      </w:r>
    </w:p>
    <w:p w14:paraId="48F81A77">
      <w:pPr>
        <w:pStyle w:val="64"/>
        <w:ind w:firstLine="420"/>
      </w:pPr>
    </w:p>
    <w:p w14:paraId="711C2F87">
      <w:pPr>
        <w:spacing w:line="440" w:lineRule="exact"/>
        <w:jc w:val="center"/>
        <w:rPr>
          <w:rFonts w:ascii="宋体" w:hAnsi="宋体" w:cs="宋体"/>
          <w:b/>
          <w:bCs/>
          <w:sz w:val="28"/>
          <w:szCs w:val="28"/>
        </w:rPr>
      </w:pPr>
      <w:r>
        <w:rPr>
          <w:rFonts w:hint="eastAsia" w:ascii="宋体" w:hAnsi="宋体" w:cs="宋体"/>
          <w:b/>
          <w:bCs/>
          <w:sz w:val="28"/>
          <w:szCs w:val="28"/>
        </w:rPr>
        <w:t>五、磋商推荐成交候选人</w:t>
      </w:r>
    </w:p>
    <w:p w14:paraId="61584840">
      <w:pPr>
        <w:spacing w:line="440" w:lineRule="exact"/>
        <w:rPr>
          <w:rFonts w:ascii="宋体" w:hAnsi="宋体" w:cs="宋体"/>
          <w:b/>
          <w:bCs/>
          <w:sz w:val="28"/>
          <w:szCs w:val="28"/>
        </w:rPr>
      </w:pPr>
      <w:r>
        <w:rPr>
          <w:rFonts w:hint="eastAsia" w:ascii="宋体" w:hAnsi="宋体" w:cs="宋体"/>
          <w:b/>
          <w:bCs/>
          <w:sz w:val="28"/>
          <w:szCs w:val="28"/>
        </w:rPr>
        <w:t>19.磋商</w:t>
      </w:r>
    </w:p>
    <w:p w14:paraId="12D8A2FC">
      <w:pPr>
        <w:spacing w:line="440" w:lineRule="exact"/>
        <w:ind w:firstLine="540"/>
        <w:rPr>
          <w:rFonts w:ascii="宋体" w:hAnsi="宋体" w:cs="宋体"/>
          <w:sz w:val="28"/>
          <w:szCs w:val="28"/>
          <w:lang w:val="zh-CN"/>
        </w:rPr>
      </w:pPr>
      <w:r>
        <w:rPr>
          <w:rFonts w:hint="eastAsia" w:ascii="宋体" w:hAnsi="宋体" w:cs="宋体"/>
          <w:sz w:val="28"/>
          <w:szCs w:val="28"/>
        </w:rPr>
        <w:t xml:space="preserve">  </w:t>
      </w:r>
      <w:r>
        <w:rPr>
          <w:rFonts w:hint="eastAsia" w:ascii="宋体"/>
          <w:sz w:val="24"/>
        </w:rPr>
        <w:t>19.1采购人或采购人委托的代理机构将在磋商公告中规定的时间和地点组织磋商，监管部门及有关部门可以视情况到现场监督磋商活动。</w:t>
      </w:r>
    </w:p>
    <w:p w14:paraId="1BF147F5">
      <w:pPr>
        <w:spacing w:line="440" w:lineRule="exact"/>
        <w:rPr>
          <w:rFonts w:ascii="宋体" w:hAnsi="宋体" w:cs="宋体"/>
          <w:b/>
          <w:bCs/>
          <w:sz w:val="28"/>
          <w:szCs w:val="28"/>
        </w:rPr>
      </w:pPr>
      <w:r>
        <w:rPr>
          <w:rFonts w:hint="eastAsia" w:ascii="宋体" w:hAnsi="宋体" w:cs="宋体"/>
          <w:b/>
          <w:bCs/>
          <w:sz w:val="28"/>
          <w:szCs w:val="28"/>
        </w:rPr>
        <w:t>20.磋商小组</w:t>
      </w:r>
    </w:p>
    <w:p w14:paraId="12625481">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20.1采购人将组织磋商小组与磋商供应商进行磋商。</w:t>
      </w:r>
    </w:p>
    <w:p w14:paraId="61508BD0">
      <w:pPr>
        <w:spacing w:line="440" w:lineRule="exact"/>
        <w:ind w:firstLine="540"/>
        <w:rPr>
          <w:rFonts w:ascii="宋体"/>
          <w:sz w:val="24"/>
        </w:rPr>
      </w:pPr>
      <w:r>
        <w:rPr>
          <w:rFonts w:hint="eastAsia" w:ascii="宋体"/>
          <w:sz w:val="24"/>
        </w:rPr>
        <w:t xml:space="preserve">  20.2磋商小组是由行业专家、采购人代表三人及以上的单数组成。</w:t>
      </w:r>
    </w:p>
    <w:p w14:paraId="6A10982E">
      <w:pPr>
        <w:spacing w:line="440" w:lineRule="exact"/>
        <w:ind w:firstLine="540"/>
        <w:rPr>
          <w:rFonts w:ascii="宋体"/>
          <w:sz w:val="24"/>
        </w:rPr>
      </w:pPr>
      <w:r>
        <w:rPr>
          <w:rFonts w:hint="eastAsia" w:ascii="宋体"/>
          <w:sz w:val="24"/>
        </w:rPr>
        <w:t xml:space="preserve">  20.3磋商小组将独立工作，负责审议所有响应文件、集中与所有参加磋商的供应商单个进行磋商并向采购人推荐成交候选人。</w:t>
      </w:r>
    </w:p>
    <w:p w14:paraId="19AB12F3">
      <w:pPr>
        <w:spacing w:line="440" w:lineRule="exact"/>
        <w:ind w:firstLine="540"/>
        <w:rPr>
          <w:rFonts w:ascii="宋体"/>
          <w:sz w:val="24"/>
        </w:rPr>
      </w:pPr>
      <w:r>
        <w:rPr>
          <w:rFonts w:hint="eastAsia" w:ascii="宋体"/>
          <w:sz w:val="24"/>
        </w:rPr>
        <w:t xml:space="preserve">  20.4磋商小组应对磋商供应商的商业、技术秘密予以保密。</w:t>
      </w:r>
    </w:p>
    <w:p w14:paraId="5302BFE1">
      <w:pPr>
        <w:spacing w:line="440" w:lineRule="exact"/>
        <w:rPr>
          <w:rFonts w:ascii="宋体" w:hAnsi="宋体" w:cs="宋体"/>
          <w:b/>
          <w:bCs/>
          <w:sz w:val="28"/>
          <w:szCs w:val="28"/>
        </w:rPr>
      </w:pPr>
      <w:r>
        <w:rPr>
          <w:rFonts w:hint="eastAsia" w:ascii="宋体" w:hAnsi="宋体" w:cs="宋体"/>
          <w:b/>
          <w:bCs/>
          <w:sz w:val="28"/>
          <w:szCs w:val="28"/>
        </w:rPr>
        <w:t>21.磋商程序</w:t>
      </w:r>
    </w:p>
    <w:p w14:paraId="2B87FF25">
      <w:pPr>
        <w:spacing w:line="440" w:lineRule="exact"/>
        <w:ind w:firstLine="540"/>
        <w:rPr>
          <w:rFonts w:ascii="宋体"/>
          <w:sz w:val="24"/>
        </w:rPr>
      </w:pPr>
      <w:r>
        <w:rPr>
          <w:rFonts w:hint="eastAsia" w:ascii="宋体"/>
          <w:sz w:val="24"/>
        </w:rPr>
        <w:t>21.1响应文件的资格审查</w:t>
      </w:r>
    </w:p>
    <w:p w14:paraId="1B53F135">
      <w:pPr>
        <w:spacing w:line="440" w:lineRule="exact"/>
        <w:ind w:firstLine="540"/>
        <w:rPr>
          <w:rFonts w:ascii="宋体"/>
          <w:sz w:val="24"/>
        </w:rPr>
      </w:pPr>
      <w:r>
        <w:rPr>
          <w:rFonts w:hint="eastAsia" w:ascii="宋体"/>
          <w:sz w:val="24"/>
        </w:rPr>
        <w:t>21.1.1磋商小组依法对磋商供应商的资格进行审查。</w:t>
      </w:r>
    </w:p>
    <w:p w14:paraId="7E592BA8">
      <w:pPr>
        <w:spacing w:line="440" w:lineRule="exact"/>
        <w:ind w:firstLine="540"/>
        <w:rPr>
          <w:rFonts w:ascii="宋体"/>
          <w:sz w:val="24"/>
        </w:rPr>
      </w:pPr>
      <w:r>
        <w:rPr>
          <w:rFonts w:hint="eastAsia" w:ascii="宋体"/>
          <w:sz w:val="24"/>
        </w:rPr>
        <w:t>21.1.1.1资格性审查:依据法律法规和磋商文件的规定，对响应文件中的资格证明文件、磋商文件等进行审查，以确定磋商供应商是否具备磋商资格。</w:t>
      </w:r>
    </w:p>
    <w:p w14:paraId="3DECCF15">
      <w:pPr>
        <w:spacing w:line="440" w:lineRule="exact"/>
        <w:ind w:firstLine="540"/>
        <w:rPr>
          <w:rFonts w:ascii="宋体"/>
          <w:sz w:val="24"/>
        </w:rPr>
      </w:pPr>
      <w:r>
        <w:rPr>
          <w:rFonts w:hint="eastAsia" w:ascii="宋体"/>
          <w:sz w:val="24"/>
        </w:rPr>
        <w:t>21.1.1.2 响应文件有下列情况之一的，在资格性审查时按照无效响应文件处理:</w:t>
      </w:r>
    </w:p>
    <w:p w14:paraId="40D126A1">
      <w:pPr>
        <w:spacing w:line="440" w:lineRule="exact"/>
        <w:ind w:firstLine="540"/>
        <w:rPr>
          <w:rFonts w:ascii="宋体"/>
          <w:sz w:val="24"/>
        </w:rPr>
      </w:pPr>
      <w:r>
        <w:rPr>
          <w:rFonts w:hint="eastAsia" w:ascii="宋体"/>
          <w:sz w:val="24"/>
        </w:rPr>
        <w:t>（1）未按照磋商文件的规定</w:t>
      </w:r>
      <w:r>
        <w:rPr>
          <w:rFonts w:hint="eastAsia" w:ascii="宋体"/>
          <w:sz w:val="24"/>
          <w:lang w:val="en-US" w:eastAsia="zh-CN"/>
        </w:rPr>
        <w:t>时间递交</w:t>
      </w:r>
      <w:r>
        <w:rPr>
          <w:rFonts w:hint="eastAsia" w:ascii="宋体"/>
          <w:sz w:val="24"/>
        </w:rPr>
        <w:t>磋商文件的；</w:t>
      </w:r>
    </w:p>
    <w:p w14:paraId="32C3CBB3">
      <w:pPr>
        <w:spacing w:line="440" w:lineRule="exact"/>
        <w:ind w:firstLine="540"/>
        <w:rPr>
          <w:rFonts w:ascii="宋体"/>
          <w:sz w:val="24"/>
        </w:rPr>
      </w:pPr>
      <w:r>
        <w:rPr>
          <w:rFonts w:hint="eastAsia" w:ascii="宋体"/>
          <w:sz w:val="24"/>
        </w:rPr>
        <w:t>（2）不具备磋商文件中规定的资格要求的；</w:t>
      </w:r>
    </w:p>
    <w:p w14:paraId="1C6A6A5F">
      <w:pPr>
        <w:spacing w:line="440" w:lineRule="exact"/>
        <w:ind w:firstLine="540"/>
        <w:rPr>
          <w:rFonts w:ascii="宋体"/>
          <w:sz w:val="24"/>
        </w:rPr>
      </w:pPr>
      <w:r>
        <w:rPr>
          <w:rFonts w:hint="eastAsia" w:ascii="宋体"/>
          <w:sz w:val="24"/>
        </w:rPr>
        <w:t>（3）磋商供应商被“信用中国”网站（</w:t>
      </w:r>
      <w:r>
        <w:fldChar w:fldCharType="begin"/>
      </w:r>
      <w:r>
        <w:instrText xml:space="preserve"> HYPERLINK "http://www.creditchina.gov.cn" </w:instrText>
      </w:r>
      <w:r>
        <w:fldChar w:fldCharType="separate"/>
      </w:r>
      <w:r>
        <w:rPr>
          <w:rFonts w:hint="eastAsia" w:ascii="宋体"/>
          <w:sz w:val="24"/>
        </w:rPr>
        <w:t>www.creditchina.gov.cn</w:t>
      </w:r>
      <w:r>
        <w:rPr>
          <w:rFonts w:hint="eastAsia" w:ascii="宋体"/>
          <w:sz w:val="24"/>
        </w:rPr>
        <w:fldChar w:fldCharType="end"/>
      </w:r>
      <w:r>
        <w:rPr>
          <w:rFonts w:hint="eastAsia" w:ascii="宋体"/>
          <w:sz w:val="24"/>
        </w:rPr>
        <w:t>）列入失信被执行人或重大税收违法案件当事人名单或政府采购严重失信行为记录名单。</w:t>
      </w:r>
    </w:p>
    <w:p w14:paraId="397F77E8">
      <w:pPr>
        <w:spacing w:line="440" w:lineRule="exact"/>
        <w:ind w:firstLine="540"/>
        <w:rPr>
          <w:rFonts w:ascii="宋体"/>
          <w:sz w:val="24"/>
        </w:rPr>
      </w:pPr>
      <w:r>
        <w:rPr>
          <w:rFonts w:hint="eastAsia" w:ascii="宋体"/>
          <w:sz w:val="24"/>
        </w:rPr>
        <w:t>21.2响应文件的符合性审查</w:t>
      </w:r>
    </w:p>
    <w:p w14:paraId="6A27DE5D">
      <w:pPr>
        <w:spacing w:line="440" w:lineRule="exact"/>
        <w:ind w:firstLine="540"/>
        <w:rPr>
          <w:rFonts w:ascii="宋体"/>
          <w:sz w:val="24"/>
        </w:rPr>
      </w:pPr>
      <w:r>
        <w:rPr>
          <w:rFonts w:hint="eastAsia" w:ascii="宋体"/>
          <w:sz w:val="24"/>
        </w:rPr>
        <w:t>21.2.1磋商小组对响应文件的有效性、完整性和对磋商文件的响应程度进行审查，以确定是否对磋商文件的实质性要求作出响应。</w:t>
      </w:r>
    </w:p>
    <w:p w14:paraId="168A82E2">
      <w:pPr>
        <w:spacing w:line="440" w:lineRule="exact"/>
        <w:ind w:firstLine="540"/>
        <w:rPr>
          <w:rFonts w:ascii="宋体"/>
          <w:sz w:val="24"/>
        </w:rPr>
      </w:pPr>
      <w:r>
        <w:rPr>
          <w:rFonts w:hint="eastAsia" w:ascii="宋体"/>
          <w:sz w:val="24"/>
        </w:rPr>
        <w:t>21.2.2实质性响应是指响应文件与磋商文件要求的全部条款、条件和要求相符，而没有重大偏离或保留。重大偏离或保留系指影响到磋商文件规定的供货期、供货范围、质量和性能；或者在实质上与磋商文件不一致，或限制了采购人的权力和磋商供应商的义务，而纠正这些偏离将会对其他提交了实质性响应文件的磋商供应商的竞争地位产生不公正的影响。重大负偏离的认定必须经磋商小组三分之二以上（含）成员同意。磋商小组判断响应文件的响应性只根据响应文件本身的内容，而不寻求外部的证据。</w:t>
      </w:r>
    </w:p>
    <w:p w14:paraId="5ACBDD8F">
      <w:pPr>
        <w:spacing w:line="440" w:lineRule="exact"/>
        <w:ind w:firstLine="540"/>
        <w:rPr>
          <w:rFonts w:ascii="宋体"/>
          <w:sz w:val="24"/>
        </w:rPr>
      </w:pPr>
      <w:r>
        <w:rPr>
          <w:rFonts w:hint="eastAsia" w:ascii="宋体"/>
          <w:sz w:val="24"/>
        </w:rPr>
        <w:t>21.2.3如果响应文件没有实质上响应磋商文件的要求，磋商小组将予以拒绝。</w:t>
      </w:r>
    </w:p>
    <w:p w14:paraId="59FF9F66">
      <w:pPr>
        <w:spacing w:line="440" w:lineRule="exact"/>
        <w:ind w:firstLine="540"/>
        <w:rPr>
          <w:rFonts w:ascii="宋体"/>
          <w:sz w:val="24"/>
        </w:rPr>
      </w:pPr>
      <w:r>
        <w:rPr>
          <w:rFonts w:hint="eastAsia" w:ascii="宋体"/>
          <w:sz w:val="24"/>
        </w:rPr>
        <w:t>21.2.4磋商小组将对确定为实质性响应的响应文件进行进一步初审，看其是否有计算上或累加上的算术错误，修正原则如下:</w:t>
      </w:r>
    </w:p>
    <w:p w14:paraId="3E92EDD6">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(一)投标文件中开标一览表(报价表)内容与投标文件中相应内容不一致的，以开标一览表(报价表)为准;</w:t>
      </w:r>
    </w:p>
    <w:p w14:paraId="25BB0628">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(二)大写金额和小写金额不一致的，以大写金额为准;</w:t>
      </w:r>
    </w:p>
    <w:p w14:paraId="12E7F717">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(三)单价金额小数点或者百分比有明显错位的，以开标一览表的总价为准，并修改单价;</w:t>
      </w:r>
    </w:p>
    <w:p w14:paraId="67FED690">
      <w:pPr>
        <w:pStyle w:val="41"/>
        <w:shd w:val="clear" w:color="auto" w:fill="FFFFFF"/>
        <w:spacing w:before="0" w:beforeAutospacing="0" w:after="0" w:afterAutospacing="0" w:line="440" w:lineRule="exact"/>
        <w:ind w:firstLine="480" w:firstLineChars="200"/>
        <w:jc w:val="both"/>
        <w:rPr>
          <w:rFonts w:hAnsi="Times New Roman" w:cs="Times New Roman"/>
          <w:kern w:val="2"/>
        </w:rPr>
      </w:pPr>
      <w:r>
        <w:rPr>
          <w:rFonts w:hint="eastAsia" w:hAnsi="Times New Roman" w:cs="Times New Roman"/>
          <w:kern w:val="2"/>
        </w:rPr>
        <w:t>(四)总价金额与按单价汇总金额不一致的，以单价金额计算结果为准。</w:t>
      </w:r>
    </w:p>
    <w:p w14:paraId="367A4EC5">
      <w:pPr>
        <w:pStyle w:val="41"/>
        <w:shd w:val="clear" w:color="auto" w:fill="FFFFFF"/>
        <w:spacing w:before="0" w:beforeAutospacing="0" w:after="0" w:afterAutospacing="0" w:line="440" w:lineRule="exact"/>
        <w:ind w:firstLine="480" w:firstLineChars="200"/>
        <w:jc w:val="both"/>
      </w:pPr>
      <w:r>
        <w:rPr>
          <w:rFonts w:hint="eastAsia" w:hAnsi="Times New Roman" w:cs="Times New Roman"/>
          <w:kern w:val="2"/>
        </w:rPr>
        <w:t>同时出现两种以上不一致的，按照前款规定的顺序修正。修正后的报价按照财政部87号令第五十一条第二款的规定经投标人确认后产生约束力，投标人不确认的，其投标无效。</w:t>
      </w:r>
    </w:p>
    <w:p w14:paraId="0D2CAA18">
      <w:pPr>
        <w:spacing w:line="440" w:lineRule="exact"/>
        <w:ind w:firstLine="540"/>
        <w:rPr>
          <w:rFonts w:ascii="宋体"/>
          <w:sz w:val="24"/>
        </w:rPr>
      </w:pPr>
      <w:r>
        <w:rPr>
          <w:rFonts w:hint="eastAsia" w:ascii="宋体"/>
          <w:sz w:val="24"/>
        </w:rPr>
        <w:t>21.3由磋商小组成员集中与单一磋商供应商分别进行磋商，磋商可以是多轮次进行。</w:t>
      </w:r>
    </w:p>
    <w:p w14:paraId="05861BFC">
      <w:pPr>
        <w:spacing w:line="440" w:lineRule="exact"/>
        <w:ind w:firstLine="540"/>
        <w:rPr>
          <w:rFonts w:ascii="宋体"/>
          <w:sz w:val="24"/>
        </w:rPr>
      </w:pPr>
      <w:r>
        <w:rPr>
          <w:rFonts w:hint="eastAsia" w:ascii="宋体"/>
          <w:sz w:val="24"/>
        </w:rPr>
        <w:t>21.4磋商过程中，磋商小组根据磋商文件和磋商情况可能实质性变动采购需求中的技术、服务要求以及合同草案条款。实质性变动是磋商文件的有效组成部分，磋商小组将以书面形式通知所有参加磋商的供应商。</w:t>
      </w:r>
    </w:p>
    <w:p w14:paraId="04EC4E0B">
      <w:pPr>
        <w:spacing w:line="440" w:lineRule="exact"/>
        <w:ind w:firstLine="540"/>
        <w:rPr>
          <w:rFonts w:ascii="宋体"/>
          <w:sz w:val="24"/>
        </w:rPr>
      </w:pPr>
      <w:r>
        <w:rPr>
          <w:rFonts w:hint="eastAsia" w:ascii="宋体"/>
          <w:sz w:val="24"/>
        </w:rPr>
        <w:t>21.5磋商中，磋商的任何一方不得透露与磋商有关的其他参加磋商供应商的技术资料、价格和其他信息。如果参加磋商供应商试图向采购中心和磋商小组人员施加任何影响，都将会导致其磋商被拒绝。</w:t>
      </w:r>
    </w:p>
    <w:p w14:paraId="787AB803">
      <w:pPr>
        <w:spacing w:line="440" w:lineRule="exact"/>
        <w:ind w:firstLine="540"/>
        <w:rPr>
          <w:rFonts w:ascii="宋体"/>
          <w:sz w:val="24"/>
        </w:rPr>
      </w:pPr>
      <w:r>
        <w:rPr>
          <w:rFonts w:hint="eastAsia" w:ascii="宋体"/>
          <w:sz w:val="24"/>
        </w:rPr>
        <w:t>21.6响应文件的澄清</w:t>
      </w:r>
    </w:p>
    <w:p w14:paraId="16F237E3">
      <w:pPr>
        <w:spacing w:line="440" w:lineRule="exact"/>
        <w:ind w:firstLine="540"/>
        <w:rPr>
          <w:rFonts w:ascii="宋体"/>
          <w:sz w:val="24"/>
        </w:rPr>
      </w:pPr>
      <w:r>
        <w:rPr>
          <w:rFonts w:hint="eastAsia" w:ascii="宋体"/>
          <w:sz w:val="24"/>
        </w:rPr>
        <w:t>21.6.1在磋商期间，为有助于对响应文件的审查、评价和比较，磋商小组有权要求磋商供应商对其响应文件中含义不明确、同类问题表述不一致或者有明显文字和计算错误的内容进行澄清。但并非对每个磋商供应商都作澄清要求。</w:t>
      </w:r>
    </w:p>
    <w:p w14:paraId="6556CF69">
      <w:pPr>
        <w:spacing w:line="440" w:lineRule="exact"/>
        <w:ind w:firstLine="540"/>
        <w:rPr>
          <w:rFonts w:ascii="宋体"/>
          <w:sz w:val="24"/>
        </w:rPr>
      </w:pPr>
      <w:r>
        <w:rPr>
          <w:rFonts w:hint="eastAsia" w:ascii="宋体"/>
          <w:sz w:val="24"/>
        </w:rPr>
        <w:t>21.6.2接到磋商小组澄清要求的磋商供应商应派人按磋商小组通知的时间和地点做出书面澄清，书面答复必须由磋商供应商法定代表人或其委托受托人签署，并作为响应文件的补充。</w:t>
      </w:r>
    </w:p>
    <w:p w14:paraId="4E5FE814">
      <w:pPr>
        <w:spacing w:line="440" w:lineRule="exact"/>
        <w:ind w:firstLine="540"/>
        <w:rPr>
          <w:rFonts w:ascii="宋体"/>
          <w:sz w:val="24"/>
        </w:rPr>
      </w:pPr>
      <w:r>
        <w:rPr>
          <w:rFonts w:hint="eastAsia" w:ascii="宋体"/>
          <w:sz w:val="24"/>
        </w:rPr>
        <w:t>21.6.3接到磋商小组澄清要求的磋商供应商如未按第21.6.2条的规定做出澄清，将视为放弃该权利。</w:t>
      </w:r>
    </w:p>
    <w:p w14:paraId="5057278C">
      <w:pPr>
        <w:spacing w:line="440" w:lineRule="exact"/>
        <w:ind w:firstLine="540"/>
        <w:rPr>
          <w:rFonts w:ascii="宋体"/>
          <w:sz w:val="24"/>
        </w:rPr>
      </w:pPr>
      <w:r>
        <w:rPr>
          <w:rFonts w:hint="eastAsia" w:ascii="宋体"/>
          <w:sz w:val="24"/>
        </w:rPr>
        <w:t>21.7工作人员按照磋商的顺序，组织磋商供应商进行两轮次的磋商报价。供应商单独准备投标函（或竞争性磋商函）在第二轮报价时填写（第二轮报价不能高于第一轮否则报价无效）。</w:t>
      </w:r>
    </w:p>
    <w:p w14:paraId="3A950F5C">
      <w:pPr>
        <w:spacing w:line="440" w:lineRule="exact"/>
        <w:rPr>
          <w:rFonts w:hint="eastAsia" w:ascii="宋体" w:hAnsi="宋体" w:cs="宋体"/>
          <w:b/>
          <w:bCs/>
          <w:sz w:val="28"/>
          <w:szCs w:val="28"/>
        </w:rPr>
      </w:pPr>
      <w:r>
        <w:rPr>
          <w:rFonts w:hint="eastAsia" w:ascii="宋体" w:hAnsi="宋体" w:cs="宋体"/>
          <w:b/>
          <w:bCs/>
          <w:sz w:val="28"/>
          <w:szCs w:val="28"/>
        </w:rPr>
        <w:t>22.当出现下列任一情况，作无效响应文件处理：</w:t>
      </w:r>
    </w:p>
    <w:p w14:paraId="037B0CAD">
      <w:pPr>
        <w:spacing w:line="440" w:lineRule="exact"/>
        <w:ind w:firstLine="540"/>
        <w:rPr>
          <w:rFonts w:ascii="宋体"/>
          <w:sz w:val="24"/>
        </w:rPr>
      </w:pPr>
      <w:r>
        <w:rPr>
          <w:rFonts w:hint="eastAsia" w:ascii="宋体"/>
          <w:sz w:val="24"/>
        </w:rPr>
        <w:t>22.1未按照磋商文件的规定提交</w:t>
      </w:r>
      <w:r>
        <w:rPr>
          <w:rFonts w:hint="eastAsia" w:ascii="宋体"/>
          <w:sz w:val="24"/>
          <w:lang w:val="en-US" w:eastAsia="zh-CN"/>
        </w:rPr>
        <w:t>响应</w:t>
      </w:r>
      <w:r>
        <w:rPr>
          <w:rFonts w:hint="eastAsia" w:ascii="宋体"/>
          <w:sz w:val="24"/>
        </w:rPr>
        <w:t>文件；</w:t>
      </w:r>
    </w:p>
    <w:p w14:paraId="22A1EA91">
      <w:pPr>
        <w:spacing w:line="440" w:lineRule="exact"/>
        <w:ind w:firstLine="540"/>
        <w:rPr>
          <w:rFonts w:ascii="宋体"/>
          <w:sz w:val="24"/>
        </w:rPr>
      </w:pPr>
      <w:r>
        <w:rPr>
          <w:rFonts w:hint="eastAsia" w:ascii="宋体"/>
          <w:sz w:val="24"/>
        </w:rPr>
        <w:t>22.2未按照磋商文件规定要求签署、盖章的；</w:t>
      </w:r>
    </w:p>
    <w:p w14:paraId="38B08C7A">
      <w:pPr>
        <w:spacing w:line="440" w:lineRule="exact"/>
        <w:ind w:firstLine="540"/>
        <w:rPr>
          <w:rFonts w:ascii="宋体"/>
          <w:sz w:val="24"/>
        </w:rPr>
      </w:pPr>
      <w:r>
        <w:rPr>
          <w:rFonts w:hint="eastAsia" w:ascii="宋体"/>
          <w:sz w:val="24"/>
        </w:rPr>
        <w:t>22.3不具备磋商文件中规定的资格要求的；</w:t>
      </w:r>
    </w:p>
    <w:p w14:paraId="6809E8F4">
      <w:pPr>
        <w:spacing w:line="440" w:lineRule="exact"/>
        <w:ind w:firstLine="540"/>
        <w:rPr>
          <w:rFonts w:ascii="宋体"/>
          <w:sz w:val="24"/>
        </w:rPr>
      </w:pPr>
      <w:r>
        <w:rPr>
          <w:rFonts w:hint="eastAsia" w:ascii="宋体"/>
          <w:sz w:val="24"/>
        </w:rPr>
        <w:t>22.4报价超过磋商文件中规定的预算金额或者最高限价的；</w:t>
      </w:r>
    </w:p>
    <w:p w14:paraId="5F3AC12A">
      <w:pPr>
        <w:spacing w:line="440" w:lineRule="exact"/>
        <w:ind w:firstLine="540"/>
        <w:rPr>
          <w:rFonts w:ascii="宋体"/>
          <w:sz w:val="24"/>
        </w:rPr>
      </w:pPr>
      <w:r>
        <w:rPr>
          <w:rFonts w:hint="eastAsia" w:ascii="宋体"/>
          <w:sz w:val="24"/>
        </w:rPr>
        <w:t>22.5响应文件含有采购人不能接受的附加条件的；</w:t>
      </w:r>
    </w:p>
    <w:p w14:paraId="6C115101">
      <w:pPr>
        <w:spacing w:line="440" w:lineRule="exact"/>
        <w:ind w:firstLine="540"/>
        <w:rPr>
          <w:rFonts w:ascii="宋体"/>
          <w:sz w:val="24"/>
        </w:rPr>
      </w:pPr>
      <w:r>
        <w:rPr>
          <w:rFonts w:hint="eastAsia" w:ascii="宋体"/>
          <w:sz w:val="24"/>
        </w:rPr>
        <w:t>22.6经磋商，磋商供应商仍不承诺满足磋商文件要求的；</w:t>
      </w:r>
    </w:p>
    <w:p w14:paraId="6F5D9104">
      <w:pPr>
        <w:spacing w:line="440" w:lineRule="exact"/>
        <w:ind w:firstLine="540"/>
        <w:rPr>
          <w:rFonts w:ascii="宋体"/>
          <w:sz w:val="24"/>
        </w:rPr>
      </w:pPr>
      <w:r>
        <w:rPr>
          <w:rFonts w:hint="eastAsia" w:ascii="宋体"/>
          <w:sz w:val="24"/>
        </w:rPr>
        <w:t>22.7经查实提供虚假材料谋取成交的；</w:t>
      </w:r>
    </w:p>
    <w:p w14:paraId="739137D1">
      <w:pPr>
        <w:spacing w:line="440" w:lineRule="exact"/>
        <w:ind w:firstLine="540"/>
        <w:rPr>
          <w:rFonts w:ascii="宋体"/>
          <w:sz w:val="24"/>
        </w:rPr>
      </w:pPr>
      <w:r>
        <w:rPr>
          <w:rFonts w:hint="eastAsia" w:ascii="宋体"/>
          <w:sz w:val="24"/>
        </w:rPr>
        <w:t>22.8法律、法规和磋商文件中规定的其他无效情形的；</w:t>
      </w:r>
    </w:p>
    <w:p w14:paraId="25174663">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22.11在磋商采购中，出现下列情形之一的，应予终止磋商：</w:t>
      </w:r>
    </w:p>
    <w:p w14:paraId="08F40861">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（1）出现影响采购公正的违法、违规行为的；</w:t>
      </w:r>
    </w:p>
    <w:p w14:paraId="14F21E7F">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（2）磋商供应商的报价均超过了采购预算，采购人不能支付的；</w:t>
      </w:r>
    </w:p>
    <w:p w14:paraId="2788BCE3">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（3）因重大变故，采购任务取消的。</w:t>
      </w:r>
    </w:p>
    <w:p w14:paraId="43C326A2">
      <w:pPr>
        <w:pStyle w:val="64"/>
        <w:spacing w:line="440" w:lineRule="exact"/>
        <w:ind w:firstLine="480"/>
        <w:rPr>
          <w:rFonts w:ascii="宋体" w:hAnsi="Times New Roman" w:eastAsia="宋体"/>
          <w:sz w:val="24"/>
          <w:szCs w:val="24"/>
        </w:rPr>
      </w:pPr>
      <w:r>
        <w:rPr>
          <w:rFonts w:hint="eastAsia" w:ascii="宋体" w:hAnsi="Times New Roman" w:eastAsia="宋体"/>
          <w:sz w:val="24"/>
          <w:szCs w:val="24"/>
        </w:rPr>
        <w:t>磋商终止后，采购人应当将磋商终止的理由通知所有磋商供应商。在特殊情况下，采购人有权在向采购监督管理部门申请批准的情况下，与两家或一家磋商供应商进行磋商。</w:t>
      </w:r>
    </w:p>
    <w:p w14:paraId="30ADEA59">
      <w:pPr>
        <w:spacing w:line="440" w:lineRule="exact"/>
        <w:rPr>
          <w:rFonts w:ascii="宋体" w:hAnsi="宋体" w:cs="宋体"/>
          <w:b/>
          <w:bCs/>
          <w:sz w:val="28"/>
          <w:szCs w:val="28"/>
        </w:rPr>
      </w:pPr>
      <w:r>
        <w:rPr>
          <w:rFonts w:hint="eastAsia" w:ascii="宋体" w:hAnsi="宋体" w:cs="宋体"/>
          <w:b/>
          <w:bCs/>
          <w:sz w:val="28"/>
          <w:szCs w:val="28"/>
        </w:rPr>
        <w:t>23.特殊情况处理</w:t>
      </w:r>
    </w:p>
    <w:p w14:paraId="1B04157A">
      <w:pPr>
        <w:spacing w:line="420" w:lineRule="exact"/>
        <w:ind w:firstLine="540"/>
        <w:rPr>
          <w:rFonts w:ascii="宋体"/>
          <w:sz w:val="24"/>
        </w:rPr>
      </w:pPr>
      <w:r>
        <w:rPr>
          <w:rFonts w:hint="eastAsia" w:ascii="宋体"/>
          <w:sz w:val="24"/>
        </w:rPr>
        <w:t>23.1磋商活动无法正常进行时经采购人同意延期开标。</w:t>
      </w:r>
    </w:p>
    <w:p w14:paraId="06B8A531">
      <w:pPr>
        <w:spacing w:line="420" w:lineRule="exact"/>
        <w:ind w:firstLine="540"/>
        <w:rPr>
          <w:rFonts w:ascii="宋体"/>
          <w:sz w:val="24"/>
        </w:rPr>
      </w:pPr>
      <w:r>
        <w:rPr>
          <w:rFonts w:hint="eastAsia" w:ascii="宋体"/>
          <w:sz w:val="24"/>
        </w:rPr>
        <w:t>23.2截止时间递交响应文件投标单位不足3家，招标人重新招标。</w:t>
      </w:r>
    </w:p>
    <w:p w14:paraId="74A6014B">
      <w:pPr>
        <w:spacing w:line="420" w:lineRule="exact"/>
        <w:ind w:firstLine="540"/>
        <w:rPr>
          <w:rFonts w:ascii="宋体"/>
          <w:sz w:val="24"/>
        </w:rPr>
      </w:pPr>
      <w:r>
        <w:rPr>
          <w:rFonts w:hint="eastAsia" w:ascii="宋体"/>
          <w:sz w:val="24"/>
        </w:rPr>
        <w:t>23.3经评审后有效标书不足3家，招标人重新招标。</w:t>
      </w:r>
    </w:p>
    <w:p w14:paraId="1F8C98CD">
      <w:pPr>
        <w:pStyle w:val="64"/>
        <w:ind w:firstLine="720" w:firstLineChars="300"/>
      </w:pPr>
      <w:r>
        <w:rPr>
          <w:rFonts w:hint="eastAsia" w:ascii="宋体"/>
          <w:sz w:val="24"/>
        </w:rPr>
        <w:t>23.4</w:t>
      </w:r>
      <w:r>
        <w:rPr>
          <w:rFonts w:hint="eastAsia" w:ascii="宋体" w:hAnsi="Times New Roman" w:eastAsia="宋体"/>
          <w:sz w:val="24"/>
          <w:szCs w:val="24"/>
        </w:rPr>
        <w:t>符合专业条件的供应商或者对磋商文件作实质响应的供应商不足三家的（本项目参照政府购买服务项目按财政部文件财库（2015）124号文件执行）。</w:t>
      </w:r>
    </w:p>
    <w:p w14:paraId="6FCEC25E">
      <w:pPr>
        <w:pStyle w:val="41"/>
        <w:spacing w:before="0" w:beforeAutospacing="0" w:after="0" w:afterAutospacing="0" w:line="420" w:lineRule="exact"/>
        <w:jc w:val="both"/>
        <w:rPr>
          <w:b/>
          <w:bCs/>
          <w:sz w:val="28"/>
          <w:szCs w:val="28"/>
        </w:rPr>
      </w:pPr>
      <w:r>
        <w:rPr>
          <w:rFonts w:hint="eastAsia" w:hAnsi="Times New Roman" w:cs="Times New Roman"/>
          <w:kern w:val="2"/>
        </w:rPr>
        <w:t xml:space="preserve"> </w:t>
      </w:r>
      <w:r>
        <w:rPr>
          <w:rFonts w:hint="eastAsia"/>
          <w:b/>
          <w:bCs/>
          <w:sz w:val="28"/>
          <w:szCs w:val="28"/>
        </w:rPr>
        <w:t>24.推荐成交候选人</w:t>
      </w:r>
    </w:p>
    <w:p w14:paraId="6A037E71">
      <w:pPr>
        <w:spacing w:line="440" w:lineRule="exact"/>
        <w:ind w:firstLine="540"/>
        <w:rPr>
          <w:rFonts w:ascii="宋体"/>
          <w:sz w:val="24"/>
        </w:rPr>
      </w:pPr>
      <w:r>
        <w:rPr>
          <w:rFonts w:hint="eastAsia" w:ascii="宋体" w:hAnsi="宋体" w:cs="宋体"/>
          <w:sz w:val="28"/>
          <w:szCs w:val="28"/>
        </w:rPr>
        <w:t xml:space="preserve">  </w:t>
      </w:r>
      <w:r>
        <w:rPr>
          <w:rFonts w:hint="eastAsia" w:ascii="宋体"/>
          <w:sz w:val="24"/>
        </w:rPr>
        <w:t>24.1磋商小组仅对确定为实质上响应磋商文件要求的响应文件进行评价和比较。</w:t>
      </w:r>
    </w:p>
    <w:p w14:paraId="23169D47">
      <w:pPr>
        <w:spacing w:line="440" w:lineRule="exact"/>
        <w:ind w:firstLine="540"/>
        <w:rPr>
          <w:rFonts w:ascii="宋体"/>
          <w:sz w:val="24"/>
        </w:rPr>
      </w:pPr>
      <w:r>
        <w:rPr>
          <w:rFonts w:hint="eastAsia" w:ascii="宋体"/>
          <w:sz w:val="24"/>
        </w:rPr>
        <w:t xml:space="preserve">  24.2磋商小组在推荐成交候选人时将考虑以下因素:</w:t>
      </w:r>
    </w:p>
    <w:p w14:paraId="359C79AC">
      <w:pPr>
        <w:spacing w:line="440" w:lineRule="exact"/>
        <w:ind w:firstLine="540"/>
        <w:rPr>
          <w:rFonts w:ascii="宋体"/>
          <w:sz w:val="24"/>
        </w:rPr>
      </w:pPr>
      <w:r>
        <w:rPr>
          <w:rFonts w:hint="eastAsia" w:ascii="宋体"/>
          <w:sz w:val="24"/>
        </w:rPr>
        <w:t xml:space="preserve">   （1）磋商标的的磋商最终报价；</w:t>
      </w:r>
    </w:p>
    <w:p w14:paraId="4EF47CE5">
      <w:pPr>
        <w:spacing w:line="440" w:lineRule="exact"/>
        <w:ind w:firstLine="540"/>
        <w:rPr>
          <w:rFonts w:ascii="宋体"/>
          <w:sz w:val="24"/>
        </w:rPr>
      </w:pPr>
      <w:r>
        <w:rPr>
          <w:rFonts w:hint="eastAsia" w:ascii="宋体"/>
          <w:sz w:val="24"/>
        </w:rPr>
        <w:t xml:space="preserve">   （2）方案编制的质量；</w:t>
      </w:r>
    </w:p>
    <w:p w14:paraId="14684CFD">
      <w:pPr>
        <w:spacing w:line="440" w:lineRule="exact"/>
        <w:ind w:firstLine="540"/>
        <w:rPr>
          <w:rFonts w:ascii="宋体"/>
          <w:sz w:val="24"/>
        </w:rPr>
      </w:pPr>
      <w:r>
        <w:rPr>
          <w:rFonts w:hint="eastAsia" w:ascii="宋体"/>
          <w:sz w:val="24"/>
        </w:rPr>
        <w:t xml:space="preserve">   （3）参加磋商供应商承诺的售后服务等。</w:t>
      </w:r>
    </w:p>
    <w:p w14:paraId="005E39B1">
      <w:pPr>
        <w:spacing w:line="440" w:lineRule="exact"/>
        <w:ind w:firstLine="540"/>
        <w:rPr>
          <w:rFonts w:ascii="宋体"/>
          <w:sz w:val="24"/>
        </w:rPr>
      </w:pPr>
      <w:r>
        <w:rPr>
          <w:rFonts w:hint="eastAsia" w:ascii="宋体"/>
          <w:sz w:val="24"/>
        </w:rPr>
        <w:t xml:space="preserve">  24.3 磋商小组仅对确定为实质上响应磋商文件要求的响应文件进行评价和比较。由磋商小组采用综合评分法对提交的响应文件进行综合评分。</w:t>
      </w:r>
    </w:p>
    <w:p w14:paraId="39D7DC1F">
      <w:pPr>
        <w:spacing w:line="440" w:lineRule="exact"/>
        <w:ind w:firstLine="856" w:firstLineChars="357"/>
        <w:rPr>
          <w:rFonts w:ascii="宋体"/>
          <w:sz w:val="24"/>
        </w:rPr>
      </w:pPr>
      <w:r>
        <w:rPr>
          <w:rFonts w:hint="eastAsia" w:ascii="宋体"/>
          <w:sz w:val="24"/>
        </w:rPr>
        <w:t>24.3.1本次项目采用综合评分法进行评审。磋商小组仅对确定为实质上响应磋商文件要求的响应文件进行评价和比较。综合评分法，是指响应文件满足磋商文件全部要求且按照按评审因素的量化指标评审得分最高的供应商为成交候选供应商的评审方法。最后按得分由高到低的顺序推荐3个候选的成交供应商，并编写评审报告。</w:t>
      </w:r>
    </w:p>
    <w:p w14:paraId="29245A2C">
      <w:pPr>
        <w:spacing w:line="440" w:lineRule="exact"/>
        <w:ind w:firstLine="540"/>
        <w:rPr>
          <w:rFonts w:ascii="宋体"/>
          <w:sz w:val="24"/>
        </w:rPr>
      </w:pPr>
      <w:r>
        <w:rPr>
          <w:rFonts w:hint="eastAsia" w:ascii="宋体"/>
          <w:sz w:val="24"/>
        </w:rPr>
        <w:t xml:space="preserve"> </w:t>
      </w:r>
      <w:r>
        <w:rPr>
          <w:rFonts w:hint="eastAsia" w:ascii="宋体"/>
          <w:sz w:val="24"/>
          <w:lang w:val="en-US" w:eastAsia="zh-CN"/>
        </w:rPr>
        <w:t xml:space="preserve"> </w:t>
      </w:r>
      <w:r>
        <w:rPr>
          <w:rFonts w:hint="eastAsia" w:ascii="宋体"/>
          <w:sz w:val="24"/>
        </w:rPr>
        <w:t>24.3.2磋商小组将依据下列评分细则进行评标（总分值:100分）：投标报价得分保留小数点后两位，小数点后第三位四舍五入。</w:t>
      </w:r>
    </w:p>
    <w:p w14:paraId="72A401BA">
      <w:pPr>
        <w:ind w:firstLine="2249" w:firstLineChars="800"/>
        <w:jc w:val="left"/>
        <w:rPr>
          <w:rFonts w:ascii="宋体" w:hAnsi="宋体" w:cs="宋体"/>
          <w:b/>
          <w:color w:val="000000"/>
          <w:sz w:val="28"/>
          <w:szCs w:val="28"/>
        </w:rPr>
      </w:pPr>
    </w:p>
    <w:p w14:paraId="18E3422C">
      <w:pPr>
        <w:ind w:firstLine="2249" w:firstLineChars="800"/>
        <w:jc w:val="left"/>
        <w:rPr>
          <w:rFonts w:ascii="宋体" w:hAnsi="宋体" w:cs="宋体"/>
          <w:b/>
          <w:color w:val="000000"/>
          <w:sz w:val="28"/>
          <w:szCs w:val="28"/>
        </w:rPr>
      </w:pPr>
      <w:r>
        <w:rPr>
          <w:rFonts w:hint="eastAsia" w:ascii="宋体" w:hAnsi="宋体" w:cs="宋体"/>
          <w:b/>
          <w:color w:val="000000"/>
          <w:sz w:val="28"/>
          <w:szCs w:val="28"/>
        </w:rPr>
        <w:t>综合评审因素和评分标准</w:t>
      </w:r>
      <w:r>
        <w:rPr>
          <w:rFonts w:ascii="宋体" w:hAnsi="宋体" w:cs="宋体"/>
          <w:b/>
          <w:color w:val="000000"/>
          <w:sz w:val="28"/>
          <w:szCs w:val="28"/>
        </w:rPr>
        <w:t>评分办法</w:t>
      </w:r>
    </w:p>
    <w:p w14:paraId="616E405D">
      <w:pPr>
        <w:spacing w:line="440" w:lineRule="exact"/>
        <w:ind w:firstLine="540"/>
        <w:rPr>
          <w:rFonts w:ascii="宋体"/>
          <w:sz w:val="24"/>
        </w:rPr>
      </w:pPr>
      <w:r>
        <w:rPr>
          <w:rFonts w:hint="eastAsia" w:ascii="宋体"/>
          <w:sz w:val="24"/>
        </w:rPr>
        <w:t>本项目采用综合评分法，评分统计方法采用百分制（满分100分），将全部磋商小组成员评分直接进行算术平均，小数点后保留2位。按评审后得分由高到低顺序排列，得分相同的，按报价由低到高顺序排列，得分且报价相同的，按技术指标优劣顺序排列，由磋商小组确定成交供应商。</w:t>
      </w:r>
    </w:p>
    <w:p w14:paraId="5DA81A55">
      <w:pPr>
        <w:spacing w:line="440" w:lineRule="exact"/>
        <w:ind w:firstLine="540"/>
        <w:rPr>
          <w:rFonts w:ascii="宋体"/>
          <w:sz w:val="24"/>
        </w:rPr>
      </w:pPr>
      <w:r>
        <w:rPr>
          <w:rFonts w:hint="eastAsia" w:ascii="宋体"/>
          <w:sz w:val="24"/>
        </w:rPr>
        <w:t>1、初步评审。磋商小组首先按照下列指标对各供应商进行初步评审，未通过评审的为无效标，不再参与评审。</w:t>
      </w:r>
    </w:p>
    <w:p w14:paraId="150713F6">
      <w:pPr>
        <w:spacing w:line="440" w:lineRule="exact"/>
        <w:ind w:firstLine="540"/>
        <w:rPr>
          <w:rFonts w:ascii="宋体"/>
          <w:sz w:val="24"/>
        </w:rPr>
      </w:pPr>
      <w:bookmarkStart w:id="38" w:name="EB1a5d8b2c3833482f95a1f101c76adb9d"/>
      <w:bookmarkEnd w:id="38"/>
      <w:r>
        <w:rPr>
          <w:rFonts w:hint="eastAsia" w:ascii="宋体"/>
          <w:sz w:val="24"/>
        </w:rPr>
        <w:t>2、详细评审:磋商小组按照竞争性磋商文件规定的评分标准，对各响应文件进行详细评审打分。磋商小组组长对各评审专家的打分情况进行复核无误后汇总。</w:t>
      </w:r>
    </w:p>
    <w:p w14:paraId="4B95791E">
      <w:pPr>
        <w:spacing w:line="440" w:lineRule="exact"/>
        <w:ind w:firstLine="540"/>
        <w:rPr>
          <w:rFonts w:ascii="宋体"/>
          <w:sz w:val="24"/>
        </w:rPr>
      </w:pPr>
      <w:r>
        <w:rPr>
          <w:rFonts w:hint="eastAsia" w:ascii="宋体"/>
          <w:sz w:val="24"/>
        </w:rPr>
        <w:t>注：在本项评分标准中材料提供复印件的，投标人须保证复印件与原件保持一致，并加盖投标人公章。中标后，采购单位有权对原件进行进一步核实。</w:t>
      </w:r>
    </w:p>
    <w:p w14:paraId="405448F1">
      <w:pPr>
        <w:spacing w:line="440" w:lineRule="exact"/>
        <w:ind w:firstLine="540"/>
        <w:rPr>
          <w:rFonts w:ascii="宋体"/>
          <w:sz w:val="24"/>
        </w:rPr>
      </w:pPr>
    </w:p>
    <w:p w14:paraId="7C7F259B">
      <w:pPr>
        <w:spacing w:line="480" w:lineRule="exact"/>
        <w:ind w:firstLine="470" w:firstLineChars="196"/>
        <w:rPr>
          <w:rFonts w:ascii="宋体" w:hAnsi="宋体" w:cs="宋体"/>
          <w:sz w:val="24"/>
        </w:rPr>
      </w:pPr>
    </w:p>
    <w:p w14:paraId="34D2A644">
      <w:pPr>
        <w:spacing w:line="480" w:lineRule="exact"/>
        <w:ind w:firstLine="470" w:firstLineChars="196"/>
        <w:rPr>
          <w:rFonts w:ascii="宋体" w:hAnsi="宋体" w:cs="宋体"/>
          <w:sz w:val="24"/>
        </w:rPr>
      </w:pPr>
    </w:p>
    <w:tbl>
      <w:tblPr>
        <w:tblStyle w:val="46"/>
        <w:tblpPr w:leftFromText="180" w:rightFromText="180" w:vertAnchor="text" w:horzAnchor="page" w:tblpX="1412" w:tblpY="647"/>
        <w:tblOverlap w:val="never"/>
        <w:tblW w:w="9740" w:type="dxa"/>
        <w:tblInd w:w="0" w:type="dxa"/>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Layout w:type="fixed"/>
        <w:tblCellMar>
          <w:top w:w="0" w:type="dxa"/>
          <w:left w:w="0" w:type="dxa"/>
          <w:bottom w:w="0" w:type="dxa"/>
          <w:right w:w="0" w:type="dxa"/>
        </w:tblCellMar>
      </w:tblPr>
      <w:tblGrid>
        <w:gridCol w:w="2797"/>
        <w:gridCol w:w="1060"/>
        <w:gridCol w:w="5883"/>
      </w:tblGrid>
      <w:tr w14:paraId="30857605">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26" w:hRule="atLeast"/>
        </w:trPr>
        <w:tc>
          <w:tcPr>
            <w:tcW w:w="2797" w:type="dxa"/>
            <w:tcBorders>
              <w:top w:val="single" w:color="auto" w:sz="6" w:space="0"/>
              <w:left w:val="single" w:color="auto" w:sz="6" w:space="0"/>
              <w:bottom w:val="single" w:color="auto" w:sz="6" w:space="0"/>
              <w:right w:val="single" w:color="auto" w:sz="6" w:space="0"/>
            </w:tcBorders>
            <w:noWrap/>
            <w:vAlign w:val="center"/>
          </w:tcPr>
          <w:p w14:paraId="10415B65">
            <w:pPr>
              <w:spacing w:line="440" w:lineRule="exact"/>
              <w:ind w:firstLine="540"/>
              <w:rPr>
                <w:rFonts w:ascii="宋体"/>
                <w:sz w:val="24"/>
              </w:rPr>
            </w:pPr>
            <w:r>
              <w:rPr>
                <w:rFonts w:hint="eastAsia" w:ascii="宋体"/>
                <w:sz w:val="24"/>
              </w:rPr>
              <w:t>评审因素</w:t>
            </w:r>
          </w:p>
        </w:tc>
        <w:tc>
          <w:tcPr>
            <w:tcW w:w="1060" w:type="dxa"/>
            <w:tcBorders>
              <w:top w:val="single" w:color="auto" w:sz="6" w:space="0"/>
              <w:left w:val="single" w:color="auto" w:sz="6" w:space="0"/>
              <w:bottom w:val="single" w:color="auto" w:sz="6" w:space="0"/>
              <w:right w:val="single" w:color="auto" w:sz="6" w:space="0"/>
            </w:tcBorders>
            <w:noWrap/>
            <w:vAlign w:val="center"/>
          </w:tcPr>
          <w:p w14:paraId="365BD941">
            <w:pPr>
              <w:spacing w:line="440" w:lineRule="exact"/>
              <w:ind w:firstLine="240" w:firstLineChars="100"/>
              <w:rPr>
                <w:rFonts w:ascii="宋体"/>
                <w:sz w:val="24"/>
              </w:rPr>
            </w:pPr>
            <w:r>
              <w:rPr>
                <w:rFonts w:hint="eastAsia" w:ascii="宋体"/>
                <w:sz w:val="24"/>
              </w:rPr>
              <w:t>分数</w:t>
            </w:r>
          </w:p>
        </w:tc>
        <w:tc>
          <w:tcPr>
            <w:tcW w:w="5883" w:type="dxa"/>
            <w:tcBorders>
              <w:top w:val="single" w:color="auto" w:sz="6" w:space="0"/>
              <w:left w:val="single" w:color="auto" w:sz="6" w:space="0"/>
              <w:bottom w:val="single" w:color="auto" w:sz="6" w:space="0"/>
              <w:right w:val="single" w:color="auto" w:sz="6" w:space="0"/>
            </w:tcBorders>
            <w:noWrap/>
            <w:vAlign w:val="center"/>
          </w:tcPr>
          <w:p w14:paraId="7CAA68DA">
            <w:pPr>
              <w:spacing w:line="440" w:lineRule="exact"/>
              <w:ind w:firstLine="540"/>
              <w:jc w:val="center"/>
              <w:rPr>
                <w:rFonts w:ascii="宋体"/>
                <w:sz w:val="24"/>
              </w:rPr>
            </w:pPr>
            <w:r>
              <w:rPr>
                <w:rFonts w:hint="eastAsia" w:ascii="宋体"/>
                <w:sz w:val="24"/>
              </w:rPr>
              <w:t>评审标准</w:t>
            </w:r>
          </w:p>
        </w:tc>
      </w:tr>
      <w:tr w14:paraId="773EF86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630" w:hRule="atLeast"/>
        </w:trPr>
        <w:tc>
          <w:tcPr>
            <w:tcW w:w="2797" w:type="dxa"/>
            <w:vMerge w:val="restart"/>
            <w:tcBorders>
              <w:top w:val="single" w:color="auto" w:sz="6" w:space="0"/>
              <w:left w:val="single" w:color="auto" w:sz="6" w:space="0"/>
              <w:right w:val="single" w:color="auto" w:sz="6" w:space="0"/>
            </w:tcBorders>
            <w:noWrap/>
            <w:vAlign w:val="center"/>
          </w:tcPr>
          <w:p w14:paraId="0B0D7D5B">
            <w:pPr>
              <w:keepNext w:val="0"/>
              <w:keepLines w:val="0"/>
              <w:pageBreakBefore w:val="0"/>
              <w:widowControl w:val="0"/>
              <w:kinsoku/>
              <w:wordWrap/>
              <w:overflowPunct/>
              <w:topLinePunct w:val="0"/>
              <w:autoSpaceDE/>
              <w:autoSpaceDN/>
              <w:bidi w:val="0"/>
              <w:snapToGrid/>
              <w:spacing w:line="440" w:lineRule="exact"/>
              <w:jc w:val="left"/>
              <w:textAlignment w:val="auto"/>
              <w:rPr>
                <w:rFonts w:hint="eastAsia" w:ascii="仿宋" w:hAnsi="仿宋" w:eastAsia="仿宋" w:cs="仿宋"/>
                <w:sz w:val="24"/>
              </w:rPr>
            </w:pPr>
          </w:p>
          <w:p w14:paraId="5730F9ED">
            <w:pPr>
              <w:keepNext w:val="0"/>
              <w:keepLines w:val="0"/>
              <w:pageBreakBefore w:val="0"/>
              <w:widowControl w:val="0"/>
              <w:kinsoku/>
              <w:wordWrap/>
              <w:overflowPunct/>
              <w:topLinePunct w:val="0"/>
              <w:autoSpaceDE/>
              <w:autoSpaceDN/>
              <w:bidi w:val="0"/>
              <w:snapToGrid/>
              <w:spacing w:line="440" w:lineRule="exact"/>
              <w:jc w:val="left"/>
              <w:textAlignment w:val="auto"/>
              <w:rPr>
                <w:rFonts w:hint="eastAsia" w:ascii="仿宋" w:hAnsi="仿宋" w:eastAsia="仿宋" w:cs="仿宋"/>
                <w:sz w:val="24"/>
                <w:lang w:eastAsia="zh-CN"/>
              </w:rPr>
            </w:pPr>
            <w:r>
              <w:rPr>
                <w:rFonts w:hint="eastAsia" w:ascii="仿宋" w:hAnsi="仿宋" w:eastAsia="仿宋" w:cs="仿宋"/>
                <w:sz w:val="24"/>
              </w:rPr>
              <w:t>采用低价优先法计算</w:t>
            </w:r>
            <w:r>
              <w:rPr>
                <w:rFonts w:hint="eastAsia" w:ascii="仿宋" w:hAnsi="仿宋" w:eastAsia="仿宋" w:cs="仿宋"/>
                <w:sz w:val="24"/>
                <w:lang w:eastAsia="zh-CN"/>
              </w:rPr>
              <w:t>。</w:t>
            </w:r>
            <w:r>
              <w:rPr>
                <w:rFonts w:hint="eastAsia" w:ascii="仿宋" w:hAnsi="仿宋" w:eastAsia="仿宋" w:cs="仿宋"/>
                <w:sz w:val="24"/>
              </w:rPr>
              <w:t>最低报价不作为中标保证</w:t>
            </w:r>
            <w:r>
              <w:rPr>
                <w:rFonts w:hint="eastAsia" w:ascii="仿宋" w:hAnsi="仿宋" w:eastAsia="仿宋" w:cs="仿宋"/>
                <w:sz w:val="24"/>
                <w:lang w:eastAsia="zh-CN"/>
              </w:rPr>
              <w:t>。</w:t>
            </w:r>
          </w:p>
          <w:p w14:paraId="6F9405A7">
            <w:pPr>
              <w:keepNext w:val="0"/>
              <w:keepLines w:val="0"/>
              <w:pageBreakBefore w:val="0"/>
              <w:widowControl w:val="0"/>
              <w:kinsoku/>
              <w:wordWrap/>
              <w:overflowPunct/>
              <w:topLinePunct w:val="0"/>
              <w:autoSpaceDE/>
              <w:autoSpaceDN/>
              <w:bidi w:val="0"/>
              <w:snapToGrid/>
              <w:spacing w:line="440" w:lineRule="exact"/>
              <w:jc w:val="left"/>
              <w:textAlignment w:val="auto"/>
              <w:rPr>
                <w:rFonts w:hint="eastAsia" w:ascii="仿宋" w:hAnsi="仿宋" w:eastAsia="仿宋" w:cs="仿宋"/>
                <w:sz w:val="24"/>
                <w:lang w:val="en-US" w:eastAsia="zh-CN"/>
              </w:rPr>
            </w:pPr>
            <w:r>
              <w:rPr>
                <w:rFonts w:hint="eastAsia" w:ascii="仿宋" w:hAnsi="仿宋" w:eastAsia="仿宋" w:cs="仿宋"/>
                <w:sz w:val="24"/>
                <w:lang w:val="en-US" w:eastAsia="zh-CN"/>
              </w:rPr>
              <w:t>按公式计算出每个投标单位的投标报价水平得分，保留小数点后两位，小数点后第三位四舍五入</w:t>
            </w:r>
          </w:p>
          <w:p w14:paraId="4CDF12E0">
            <w:pPr>
              <w:keepNext w:val="0"/>
              <w:keepLines w:val="0"/>
              <w:pageBreakBefore w:val="0"/>
              <w:widowControl w:val="0"/>
              <w:kinsoku/>
              <w:wordWrap/>
              <w:overflowPunct/>
              <w:topLinePunct w:val="0"/>
              <w:autoSpaceDE/>
              <w:autoSpaceDN/>
              <w:bidi w:val="0"/>
              <w:snapToGrid/>
              <w:spacing w:line="440" w:lineRule="exact"/>
              <w:jc w:val="left"/>
              <w:textAlignment w:val="auto"/>
              <w:rPr>
                <w:rFonts w:hint="eastAsia" w:ascii="仿宋" w:hAnsi="仿宋" w:eastAsia="仿宋" w:cs="仿宋"/>
                <w:sz w:val="24"/>
              </w:rPr>
            </w:pPr>
          </w:p>
        </w:tc>
        <w:tc>
          <w:tcPr>
            <w:tcW w:w="1060" w:type="dxa"/>
            <w:vMerge w:val="restart"/>
            <w:tcBorders>
              <w:top w:val="single" w:color="auto" w:sz="6" w:space="0"/>
              <w:left w:val="single" w:color="auto" w:sz="6" w:space="0"/>
              <w:right w:val="single" w:color="auto" w:sz="6" w:space="0"/>
            </w:tcBorders>
            <w:noWrap/>
            <w:vAlign w:val="center"/>
          </w:tcPr>
          <w:p w14:paraId="3FFDF779">
            <w:pPr>
              <w:keepNext w:val="0"/>
              <w:keepLines w:val="0"/>
              <w:pageBreakBefore w:val="0"/>
              <w:widowControl w:val="0"/>
              <w:kinsoku/>
              <w:wordWrap/>
              <w:overflowPunct/>
              <w:topLinePunct w:val="0"/>
              <w:autoSpaceDE/>
              <w:autoSpaceDN/>
              <w:bidi w:val="0"/>
              <w:snapToGrid/>
              <w:spacing w:line="440" w:lineRule="exact"/>
              <w:jc w:val="center"/>
              <w:textAlignment w:val="auto"/>
              <w:rPr>
                <w:rFonts w:hint="eastAsia" w:ascii="仿宋" w:hAnsi="仿宋" w:eastAsia="仿宋" w:cs="仿宋"/>
                <w:sz w:val="24"/>
              </w:rPr>
            </w:pPr>
            <w:r>
              <w:rPr>
                <w:rFonts w:hint="eastAsia" w:ascii="仿宋" w:hAnsi="仿宋" w:eastAsia="仿宋" w:cs="仿宋"/>
                <w:sz w:val="24"/>
              </w:rPr>
              <w:t>30.00</w:t>
            </w:r>
          </w:p>
        </w:tc>
        <w:tc>
          <w:tcPr>
            <w:tcW w:w="5883" w:type="dxa"/>
            <w:tcBorders>
              <w:top w:val="single" w:color="auto" w:sz="6" w:space="0"/>
              <w:left w:val="single" w:color="auto" w:sz="6" w:space="0"/>
              <w:bottom w:val="single" w:color="auto" w:sz="6" w:space="0"/>
              <w:right w:val="single" w:color="auto" w:sz="6" w:space="0"/>
            </w:tcBorders>
            <w:noWrap/>
            <w:vAlign w:val="center"/>
          </w:tcPr>
          <w:p w14:paraId="4541C5DF">
            <w:pPr>
              <w:pStyle w:val="23"/>
              <w:adjustRightInd w:val="0"/>
              <w:spacing w:before="120" w:after="120" w:line="280" w:lineRule="exact"/>
              <w:jc w:val="left"/>
              <w:rPr>
                <w:rFonts w:hint="eastAsia" w:ascii="仿宋" w:hAnsi="仿宋" w:eastAsia="仿宋"/>
                <w:sz w:val="24"/>
                <w:szCs w:val="24"/>
                <w:lang w:eastAsia="zh-CN"/>
              </w:rPr>
            </w:pPr>
            <w:r>
              <w:rPr>
                <w:rFonts w:hint="eastAsia" w:ascii="仿宋" w:hAnsi="仿宋" w:eastAsia="仿宋"/>
                <w:sz w:val="24"/>
                <w:szCs w:val="24"/>
              </w:rPr>
              <w:t>客户评估价值在500万元（含）以内的收费标准</w:t>
            </w:r>
            <w:r>
              <w:rPr>
                <w:rFonts w:hint="eastAsia" w:ascii="仿宋" w:hAnsi="仿宋" w:eastAsia="仿宋"/>
                <w:sz w:val="24"/>
                <w:szCs w:val="24"/>
                <w:lang w:eastAsia="zh-CN"/>
              </w:rPr>
              <w:t>：</w:t>
            </w:r>
          </w:p>
          <w:p w14:paraId="2711B402">
            <w:pPr>
              <w:pStyle w:val="23"/>
              <w:numPr>
                <w:ilvl w:val="0"/>
                <w:numId w:val="5"/>
              </w:numPr>
              <w:adjustRightInd w:val="0"/>
              <w:spacing w:before="120" w:after="120" w:line="280" w:lineRule="exact"/>
              <w:jc w:val="left"/>
              <w:rPr>
                <w:rFonts w:hint="eastAsia" w:ascii="仿宋" w:hAnsi="仿宋" w:eastAsia="仿宋"/>
                <w:sz w:val="24"/>
                <w:szCs w:val="24"/>
              </w:rPr>
            </w:pPr>
            <w:r>
              <w:rPr>
                <w:rFonts w:hint="eastAsia" w:ascii="仿宋" w:hAnsi="仿宋" w:eastAsia="仿宋"/>
                <w:sz w:val="24"/>
                <w:szCs w:val="24"/>
              </w:rPr>
              <w:t>不超过</w:t>
            </w:r>
            <w:r>
              <w:rPr>
                <w:rFonts w:hint="eastAsia" w:ascii="仿宋" w:hAnsi="仿宋" w:eastAsia="仿宋"/>
                <w:sz w:val="24"/>
                <w:szCs w:val="24"/>
                <w:lang w:val="en-US" w:eastAsia="zh-CN"/>
              </w:rPr>
              <w:t>450</w:t>
            </w:r>
            <w:r>
              <w:rPr>
                <w:rFonts w:hint="eastAsia" w:ascii="仿宋" w:hAnsi="仿宋" w:eastAsia="仿宋"/>
                <w:sz w:val="24"/>
                <w:szCs w:val="24"/>
              </w:rPr>
              <w:t>元/户</w:t>
            </w:r>
            <w:r>
              <w:rPr>
                <w:rFonts w:hint="eastAsia" w:ascii="仿宋" w:hAnsi="仿宋" w:eastAsia="仿宋"/>
                <w:sz w:val="24"/>
                <w:szCs w:val="24"/>
                <w:lang w:val="en-US" w:eastAsia="zh-CN"/>
              </w:rPr>
              <w:t>/次</w:t>
            </w:r>
            <w:r>
              <w:rPr>
                <w:rFonts w:hint="eastAsia" w:ascii="仿宋" w:hAnsi="仿宋" w:eastAsia="仿宋"/>
                <w:sz w:val="24"/>
                <w:szCs w:val="24"/>
              </w:rPr>
              <w:t>，即XXX元/户的形式，不得以评估价值的百分比形式出现。</w:t>
            </w:r>
          </w:p>
          <w:p w14:paraId="5F6D9DFB">
            <w:pPr>
              <w:pStyle w:val="23"/>
              <w:numPr>
                <w:ilvl w:val="0"/>
                <w:numId w:val="0"/>
              </w:numPr>
              <w:adjustRightInd w:val="0"/>
              <w:spacing w:before="120" w:after="120" w:line="280" w:lineRule="exact"/>
              <w:jc w:val="left"/>
              <w:rPr>
                <w:rFonts w:hint="default" w:ascii="宋体" w:eastAsia="仿宋"/>
                <w:sz w:val="24"/>
                <w:szCs w:val="24"/>
                <w:lang w:val="en-US" w:eastAsia="zh-CN"/>
              </w:rPr>
            </w:pPr>
            <w:r>
              <w:rPr>
                <w:rFonts w:hint="eastAsia" w:ascii="仿宋" w:hAnsi="仿宋" w:eastAsia="仿宋"/>
                <w:sz w:val="24"/>
                <w:szCs w:val="24"/>
              </w:rPr>
              <w:t>2.满足招标文件要求且投标价格最低的投标报价为评标基准价，其价格得分为满分</w:t>
            </w:r>
            <w:r>
              <w:rPr>
                <w:rFonts w:hint="eastAsia" w:ascii="仿宋" w:hAnsi="仿宋" w:eastAsia="仿宋"/>
                <w:sz w:val="24"/>
                <w:szCs w:val="24"/>
                <w:lang w:val="en-US" w:eastAsia="zh-CN"/>
              </w:rPr>
              <w:t>20</w:t>
            </w:r>
            <w:r>
              <w:rPr>
                <w:rFonts w:hint="eastAsia" w:ascii="仿宋" w:hAnsi="仿宋" w:eastAsia="仿宋"/>
                <w:sz w:val="24"/>
                <w:szCs w:val="24"/>
              </w:rPr>
              <w:t>分。其他供应商的价格分按照下列公式计算</w:t>
            </w:r>
            <w:r>
              <w:rPr>
                <w:rFonts w:hint="eastAsia" w:ascii="仿宋" w:hAnsi="仿宋" w:eastAsia="仿宋"/>
                <w:sz w:val="24"/>
                <w:szCs w:val="24"/>
                <w:lang w:eastAsia="zh-CN"/>
              </w:rPr>
              <w:t>，</w:t>
            </w:r>
            <w:r>
              <w:rPr>
                <w:rFonts w:hint="eastAsia" w:ascii="仿宋" w:hAnsi="仿宋" w:eastAsia="仿宋"/>
                <w:sz w:val="24"/>
                <w:szCs w:val="24"/>
                <w:lang w:val="en-US" w:eastAsia="zh-CN"/>
              </w:rPr>
              <w:t>投标</w:t>
            </w:r>
            <w:r>
              <w:rPr>
                <w:rFonts w:hint="eastAsia" w:ascii="仿宋" w:hAnsi="仿宋" w:eastAsia="仿宋"/>
                <w:sz w:val="24"/>
                <w:szCs w:val="24"/>
              </w:rPr>
              <w:t>报价水平得分=（评标基准价/投标报价）×</w:t>
            </w:r>
            <w:r>
              <w:rPr>
                <w:rFonts w:hint="eastAsia" w:ascii="仿宋" w:hAnsi="仿宋" w:eastAsia="仿宋"/>
                <w:sz w:val="24"/>
                <w:szCs w:val="24"/>
                <w:lang w:val="en-US" w:eastAsia="zh-CN"/>
              </w:rPr>
              <w:t>20</w:t>
            </w:r>
          </w:p>
        </w:tc>
      </w:tr>
      <w:tr w14:paraId="5A3F303A">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90" w:hRule="atLeast"/>
        </w:trPr>
        <w:tc>
          <w:tcPr>
            <w:tcW w:w="2797" w:type="dxa"/>
            <w:vMerge w:val="continue"/>
            <w:tcBorders>
              <w:left w:val="single" w:color="auto" w:sz="6" w:space="0"/>
              <w:right w:val="single" w:color="auto" w:sz="6" w:space="0"/>
            </w:tcBorders>
            <w:noWrap/>
            <w:vAlign w:val="center"/>
          </w:tcPr>
          <w:p w14:paraId="3A757676">
            <w:pPr>
              <w:spacing w:line="440" w:lineRule="exact"/>
              <w:jc w:val="center"/>
              <w:rPr>
                <w:rFonts w:hint="eastAsia" w:ascii="宋体"/>
                <w:sz w:val="24"/>
              </w:rPr>
            </w:pPr>
          </w:p>
        </w:tc>
        <w:tc>
          <w:tcPr>
            <w:tcW w:w="1060" w:type="dxa"/>
            <w:vMerge w:val="continue"/>
            <w:tcBorders>
              <w:left w:val="single" w:color="auto" w:sz="6" w:space="0"/>
              <w:right w:val="single" w:color="auto" w:sz="6" w:space="0"/>
            </w:tcBorders>
            <w:noWrap/>
            <w:vAlign w:val="center"/>
          </w:tcPr>
          <w:p w14:paraId="19643363">
            <w:pPr>
              <w:spacing w:line="440" w:lineRule="exact"/>
              <w:jc w:val="center"/>
              <w:rPr>
                <w:rFonts w:hint="eastAsia" w:ascii="宋体"/>
                <w:sz w:val="24"/>
              </w:rPr>
            </w:pPr>
          </w:p>
        </w:tc>
        <w:tc>
          <w:tcPr>
            <w:tcW w:w="5883" w:type="dxa"/>
            <w:tcBorders>
              <w:top w:val="single" w:color="auto" w:sz="6" w:space="0"/>
              <w:left w:val="single" w:color="auto" w:sz="6" w:space="0"/>
              <w:bottom w:val="single" w:color="auto" w:sz="6" w:space="0"/>
              <w:right w:val="single" w:color="auto" w:sz="6" w:space="0"/>
            </w:tcBorders>
            <w:noWrap/>
            <w:vAlign w:val="center"/>
          </w:tcPr>
          <w:p w14:paraId="140264B3">
            <w:pPr>
              <w:pStyle w:val="23"/>
              <w:adjustRightInd w:val="0"/>
              <w:spacing w:before="120" w:after="120" w:line="280" w:lineRule="exact"/>
              <w:jc w:val="left"/>
              <w:rPr>
                <w:rFonts w:hint="eastAsia" w:ascii="仿宋" w:hAnsi="仿宋" w:eastAsia="仿宋"/>
                <w:sz w:val="24"/>
                <w:szCs w:val="24"/>
                <w:lang w:val="en-US" w:eastAsia="zh-CN"/>
              </w:rPr>
            </w:pPr>
            <w:r>
              <w:rPr>
                <w:rFonts w:hint="eastAsia" w:ascii="仿宋" w:hAnsi="仿宋" w:eastAsia="仿宋"/>
                <w:sz w:val="24"/>
                <w:szCs w:val="24"/>
              </w:rPr>
              <w:t>客户评估价值在500万元至1000万元（含）之间的收费标准</w:t>
            </w:r>
            <w:r>
              <w:rPr>
                <w:rFonts w:hint="eastAsia" w:ascii="仿宋" w:hAnsi="仿宋" w:eastAsia="仿宋"/>
                <w:sz w:val="24"/>
                <w:szCs w:val="24"/>
                <w:lang w:val="en-US" w:eastAsia="zh-CN"/>
              </w:rPr>
              <w:t>:</w:t>
            </w:r>
          </w:p>
          <w:p w14:paraId="27E829C9">
            <w:pPr>
              <w:pStyle w:val="23"/>
              <w:numPr>
                <w:ilvl w:val="0"/>
                <w:numId w:val="0"/>
              </w:numPr>
              <w:adjustRightInd w:val="0"/>
              <w:spacing w:before="120" w:after="120" w:line="280" w:lineRule="exact"/>
              <w:jc w:val="left"/>
              <w:rPr>
                <w:rFonts w:hint="eastAsia" w:ascii="宋体"/>
                <w:sz w:val="24"/>
                <w:szCs w:val="24"/>
              </w:rPr>
            </w:pPr>
            <w:r>
              <w:rPr>
                <w:rFonts w:hint="eastAsia" w:ascii="仿宋" w:hAnsi="仿宋" w:eastAsia="仿宋"/>
                <w:sz w:val="24"/>
                <w:szCs w:val="24"/>
                <w:lang w:val="en-US" w:eastAsia="zh-CN"/>
              </w:rPr>
              <w:t>1.</w:t>
            </w:r>
            <w:r>
              <w:rPr>
                <w:rFonts w:hint="eastAsia" w:ascii="仿宋" w:hAnsi="仿宋" w:eastAsia="仿宋"/>
                <w:sz w:val="24"/>
                <w:szCs w:val="24"/>
              </w:rPr>
              <w:t>不超过</w:t>
            </w:r>
            <w:r>
              <w:rPr>
                <w:rFonts w:hint="eastAsia" w:ascii="仿宋" w:hAnsi="仿宋" w:eastAsia="仿宋"/>
                <w:sz w:val="24"/>
                <w:szCs w:val="24"/>
                <w:lang w:val="en-US" w:eastAsia="zh-CN"/>
              </w:rPr>
              <w:t>460</w:t>
            </w:r>
            <w:r>
              <w:rPr>
                <w:rFonts w:hint="eastAsia" w:ascii="仿宋" w:hAnsi="仿宋" w:eastAsia="仿宋"/>
                <w:sz w:val="24"/>
                <w:szCs w:val="24"/>
              </w:rPr>
              <w:t>元/户</w:t>
            </w:r>
            <w:r>
              <w:rPr>
                <w:rFonts w:hint="eastAsia" w:ascii="仿宋" w:hAnsi="仿宋" w:eastAsia="仿宋"/>
                <w:sz w:val="24"/>
                <w:szCs w:val="24"/>
                <w:lang w:val="en-US" w:eastAsia="zh-CN"/>
              </w:rPr>
              <w:t>/次</w:t>
            </w:r>
            <w:r>
              <w:rPr>
                <w:rFonts w:hint="eastAsia" w:ascii="仿宋" w:hAnsi="仿宋" w:eastAsia="仿宋"/>
                <w:sz w:val="24"/>
                <w:szCs w:val="24"/>
              </w:rPr>
              <w:t>，即XXX元/户的形式，不得以评估价值的百分比形式出现。</w:t>
            </w:r>
          </w:p>
          <w:p w14:paraId="1DAF2966">
            <w:pPr>
              <w:pStyle w:val="23"/>
              <w:numPr>
                <w:ilvl w:val="0"/>
                <w:numId w:val="0"/>
              </w:numPr>
              <w:adjustRightInd w:val="0"/>
              <w:spacing w:before="120" w:after="120" w:line="280" w:lineRule="exact"/>
              <w:jc w:val="left"/>
              <w:rPr>
                <w:rFonts w:hint="eastAsia" w:ascii="宋体" w:eastAsia="仿宋"/>
                <w:sz w:val="24"/>
                <w:szCs w:val="24"/>
                <w:lang w:val="en-US" w:eastAsia="zh-CN"/>
              </w:rPr>
            </w:pPr>
            <w:r>
              <w:rPr>
                <w:rFonts w:hint="eastAsia" w:ascii="仿宋" w:hAnsi="仿宋" w:eastAsia="仿宋"/>
                <w:sz w:val="24"/>
                <w:szCs w:val="24"/>
              </w:rPr>
              <w:t>2.满足招标文件要求且投标价格最低的投标报价为评标基准价，其价格得分为满分</w:t>
            </w:r>
            <w:r>
              <w:rPr>
                <w:rFonts w:hint="eastAsia" w:ascii="仿宋" w:hAnsi="仿宋" w:eastAsia="仿宋"/>
                <w:sz w:val="24"/>
                <w:szCs w:val="24"/>
                <w:lang w:val="en-US" w:eastAsia="zh-CN"/>
              </w:rPr>
              <w:t>5</w:t>
            </w:r>
            <w:r>
              <w:rPr>
                <w:rFonts w:hint="eastAsia" w:ascii="仿宋" w:hAnsi="仿宋" w:eastAsia="仿宋"/>
                <w:sz w:val="24"/>
                <w:szCs w:val="24"/>
              </w:rPr>
              <w:t>分。</w:t>
            </w:r>
            <w:r>
              <w:rPr>
                <w:rFonts w:hint="eastAsia" w:ascii="仿宋" w:hAnsi="仿宋" w:eastAsia="仿宋"/>
                <w:sz w:val="24"/>
                <w:szCs w:val="24"/>
                <w:lang w:val="en-US" w:eastAsia="zh-CN"/>
              </w:rPr>
              <w:t>投标</w:t>
            </w:r>
            <w:r>
              <w:rPr>
                <w:rFonts w:hint="eastAsia" w:ascii="仿宋" w:hAnsi="仿宋" w:eastAsia="仿宋"/>
                <w:sz w:val="24"/>
                <w:szCs w:val="24"/>
              </w:rPr>
              <w:t>报价水平得分=（评标基准价/投标报价）×</w:t>
            </w:r>
            <w:r>
              <w:rPr>
                <w:rFonts w:hint="eastAsia" w:ascii="仿宋" w:hAnsi="仿宋" w:eastAsia="仿宋"/>
                <w:sz w:val="24"/>
                <w:szCs w:val="24"/>
                <w:lang w:val="en-US" w:eastAsia="zh-CN"/>
              </w:rPr>
              <w:t>5</w:t>
            </w:r>
          </w:p>
        </w:tc>
      </w:tr>
      <w:tr w14:paraId="772241F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1835" w:hRule="atLeast"/>
        </w:trPr>
        <w:tc>
          <w:tcPr>
            <w:tcW w:w="2797" w:type="dxa"/>
            <w:vMerge w:val="continue"/>
            <w:tcBorders>
              <w:left w:val="single" w:color="auto" w:sz="6" w:space="0"/>
              <w:right w:val="single" w:color="auto" w:sz="6" w:space="0"/>
            </w:tcBorders>
            <w:noWrap/>
            <w:vAlign w:val="center"/>
          </w:tcPr>
          <w:p w14:paraId="4F0FE1A0">
            <w:pPr>
              <w:spacing w:line="440" w:lineRule="exact"/>
              <w:jc w:val="center"/>
              <w:rPr>
                <w:rFonts w:hint="eastAsia" w:ascii="宋体"/>
                <w:sz w:val="24"/>
              </w:rPr>
            </w:pPr>
          </w:p>
        </w:tc>
        <w:tc>
          <w:tcPr>
            <w:tcW w:w="1060" w:type="dxa"/>
            <w:vMerge w:val="continue"/>
            <w:tcBorders>
              <w:left w:val="single" w:color="auto" w:sz="6" w:space="0"/>
              <w:right w:val="single" w:color="auto" w:sz="6" w:space="0"/>
            </w:tcBorders>
            <w:noWrap/>
            <w:vAlign w:val="center"/>
          </w:tcPr>
          <w:p w14:paraId="623A6F43">
            <w:pPr>
              <w:spacing w:line="440" w:lineRule="exact"/>
              <w:jc w:val="center"/>
              <w:rPr>
                <w:rFonts w:hint="eastAsia" w:ascii="宋体"/>
                <w:sz w:val="24"/>
              </w:rPr>
            </w:pPr>
          </w:p>
        </w:tc>
        <w:tc>
          <w:tcPr>
            <w:tcW w:w="5883" w:type="dxa"/>
            <w:tcBorders>
              <w:top w:val="single" w:color="auto" w:sz="6" w:space="0"/>
              <w:left w:val="single" w:color="auto" w:sz="6" w:space="0"/>
              <w:bottom w:val="single" w:color="auto" w:sz="6" w:space="0"/>
              <w:right w:val="single" w:color="auto" w:sz="6" w:space="0"/>
            </w:tcBorders>
            <w:noWrap/>
            <w:vAlign w:val="center"/>
          </w:tcPr>
          <w:p w14:paraId="06740141">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rPr>
              <w:t>客户评估价值在1000万元至3000万元（含）之间的收费标准</w:t>
            </w:r>
            <w:r>
              <w:rPr>
                <w:rFonts w:hint="eastAsia" w:ascii="仿宋" w:hAnsi="仿宋" w:eastAsia="仿宋"/>
                <w:sz w:val="24"/>
                <w:szCs w:val="24"/>
                <w:lang w:val="en-US" w:eastAsia="zh-CN"/>
              </w:rPr>
              <w:t>:</w:t>
            </w:r>
          </w:p>
          <w:p w14:paraId="4933943D">
            <w:pPr>
              <w:spacing w:line="360" w:lineRule="exact"/>
              <w:jc w:val="left"/>
              <w:rPr>
                <w:rFonts w:ascii="仿宋" w:hAnsi="仿宋" w:eastAsia="仿宋"/>
                <w:sz w:val="24"/>
                <w:szCs w:val="24"/>
              </w:rPr>
            </w:pPr>
            <w:r>
              <w:rPr>
                <w:rFonts w:hint="eastAsia" w:ascii="仿宋" w:hAnsi="仿宋" w:eastAsia="仿宋"/>
                <w:sz w:val="24"/>
                <w:szCs w:val="24"/>
              </w:rPr>
              <w:t>1.不超过</w:t>
            </w:r>
            <w:r>
              <w:rPr>
                <w:rFonts w:hint="eastAsia" w:ascii="仿宋" w:hAnsi="仿宋" w:eastAsia="仿宋"/>
                <w:sz w:val="24"/>
                <w:szCs w:val="24"/>
                <w:lang w:val="en-US" w:eastAsia="zh-CN"/>
              </w:rPr>
              <w:t>480</w:t>
            </w:r>
            <w:r>
              <w:rPr>
                <w:rFonts w:hint="eastAsia" w:ascii="仿宋" w:hAnsi="仿宋" w:eastAsia="仿宋"/>
                <w:sz w:val="24"/>
                <w:szCs w:val="24"/>
              </w:rPr>
              <w:t>元/户</w:t>
            </w:r>
            <w:r>
              <w:rPr>
                <w:rFonts w:hint="eastAsia" w:ascii="仿宋" w:hAnsi="仿宋" w:eastAsia="仿宋"/>
                <w:sz w:val="24"/>
                <w:szCs w:val="24"/>
                <w:lang w:val="en-US" w:eastAsia="zh-CN"/>
              </w:rPr>
              <w:t>/次</w:t>
            </w:r>
            <w:r>
              <w:rPr>
                <w:rFonts w:hint="eastAsia" w:ascii="仿宋" w:hAnsi="仿宋" w:eastAsia="仿宋"/>
                <w:sz w:val="24"/>
                <w:szCs w:val="24"/>
              </w:rPr>
              <w:t>，且报价应为一口价，即XXX元/户的形式，不得以评估价值的百分比形式出现。</w:t>
            </w:r>
          </w:p>
          <w:p w14:paraId="2C2C31DF">
            <w:pPr>
              <w:spacing w:line="360" w:lineRule="exact"/>
              <w:jc w:val="left"/>
              <w:rPr>
                <w:rFonts w:hint="eastAsia" w:ascii="宋体" w:eastAsia="仿宋"/>
                <w:sz w:val="24"/>
                <w:szCs w:val="24"/>
                <w:lang w:val="en-US" w:eastAsia="zh-CN"/>
              </w:rPr>
            </w:pPr>
            <w:r>
              <w:rPr>
                <w:rFonts w:hint="eastAsia" w:ascii="仿宋" w:hAnsi="仿宋" w:eastAsia="仿宋"/>
                <w:sz w:val="24"/>
                <w:szCs w:val="24"/>
              </w:rPr>
              <w:t>2.满足招标文件要求且投标价格最低的投标报价为评标基准价，其价格得分为满分</w:t>
            </w:r>
            <w:r>
              <w:rPr>
                <w:rFonts w:hint="eastAsia" w:ascii="仿宋" w:hAnsi="仿宋" w:eastAsia="仿宋"/>
                <w:sz w:val="24"/>
                <w:szCs w:val="24"/>
                <w:lang w:val="en-US" w:eastAsia="zh-CN"/>
              </w:rPr>
              <w:t>3</w:t>
            </w:r>
            <w:r>
              <w:rPr>
                <w:rFonts w:hint="eastAsia" w:ascii="仿宋" w:hAnsi="仿宋" w:eastAsia="仿宋"/>
                <w:sz w:val="24"/>
                <w:szCs w:val="24"/>
              </w:rPr>
              <w:t>分。</w:t>
            </w:r>
            <w:r>
              <w:rPr>
                <w:rFonts w:hint="eastAsia" w:ascii="仿宋" w:hAnsi="仿宋" w:eastAsia="仿宋"/>
                <w:sz w:val="24"/>
                <w:szCs w:val="24"/>
                <w:lang w:val="en-US" w:eastAsia="zh-CN"/>
              </w:rPr>
              <w:t>投标</w:t>
            </w:r>
            <w:r>
              <w:rPr>
                <w:rFonts w:hint="eastAsia" w:ascii="仿宋" w:hAnsi="仿宋" w:eastAsia="仿宋"/>
                <w:sz w:val="24"/>
                <w:szCs w:val="24"/>
              </w:rPr>
              <w:t>报价水平得分=（评标基准价/投标报价）×</w:t>
            </w:r>
            <w:r>
              <w:rPr>
                <w:rFonts w:hint="eastAsia" w:ascii="仿宋" w:hAnsi="仿宋" w:eastAsia="仿宋"/>
                <w:sz w:val="24"/>
                <w:szCs w:val="24"/>
                <w:lang w:val="en-US" w:eastAsia="zh-CN"/>
              </w:rPr>
              <w:t>3</w:t>
            </w:r>
          </w:p>
        </w:tc>
      </w:tr>
      <w:tr w14:paraId="43ACCE2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873" w:hRule="atLeast"/>
        </w:trPr>
        <w:tc>
          <w:tcPr>
            <w:tcW w:w="2797" w:type="dxa"/>
            <w:vMerge w:val="continue"/>
            <w:tcBorders>
              <w:left w:val="single" w:color="auto" w:sz="6" w:space="0"/>
              <w:bottom w:val="single" w:color="auto" w:sz="6" w:space="0"/>
              <w:right w:val="single" w:color="auto" w:sz="6" w:space="0"/>
            </w:tcBorders>
            <w:noWrap/>
            <w:vAlign w:val="center"/>
          </w:tcPr>
          <w:p w14:paraId="7D2473E4">
            <w:pPr>
              <w:spacing w:line="440" w:lineRule="exact"/>
              <w:jc w:val="center"/>
              <w:rPr>
                <w:rFonts w:hint="eastAsia" w:ascii="宋体"/>
                <w:sz w:val="24"/>
              </w:rPr>
            </w:pPr>
          </w:p>
        </w:tc>
        <w:tc>
          <w:tcPr>
            <w:tcW w:w="1060" w:type="dxa"/>
            <w:vMerge w:val="continue"/>
            <w:tcBorders>
              <w:left w:val="single" w:color="auto" w:sz="6" w:space="0"/>
              <w:bottom w:val="single" w:color="auto" w:sz="6" w:space="0"/>
              <w:right w:val="single" w:color="auto" w:sz="6" w:space="0"/>
            </w:tcBorders>
            <w:noWrap/>
            <w:vAlign w:val="center"/>
          </w:tcPr>
          <w:p w14:paraId="2C5B5018">
            <w:pPr>
              <w:spacing w:line="440" w:lineRule="exact"/>
              <w:jc w:val="center"/>
              <w:rPr>
                <w:rFonts w:hint="eastAsia" w:ascii="宋体"/>
                <w:sz w:val="24"/>
              </w:rPr>
            </w:pPr>
          </w:p>
        </w:tc>
        <w:tc>
          <w:tcPr>
            <w:tcW w:w="5883" w:type="dxa"/>
            <w:tcBorders>
              <w:top w:val="single" w:color="auto" w:sz="6" w:space="0"/>
              <w:left w:val="single" w:color="auto" w:sz="6" w:space="0"/>
              <w:bottom w:val="single" w:color="auto" w:sz="6" w:space="0"/>
              <w:right w:val="single" w:color="auto" w:sz="6" w:space="0"/>
            </w:tcBorders>
            <w:noWrap/>
            <w:vAlign w:val="center"/>
          </w:tcPr>
          <w:p w14:paraId="5891E067">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rPr>
              <w:t>客户评估价值在3000万元以上的收费标准</w:t>
            </w:r>
            <w:r>
              <w:rPr>
                <w:rFonts w:hint="eastAsia" w:ascii="仿宋" w:hAnsi="仿宋" w:eastAsia="仿宋"/>
                <w:sz w:val="24"/>
                <w:szCs w:val="24"/>
                <w:lang w:val="en-US" w:eastAsia="zh-CN"/>
              </w:rPr>
              <w:t>:</w:t>
            </w:r>
          </w:p>
          <w:p w14:paraId="105318F9">
            <w:pPr>
              <w:spacing w:line="360" w:lineRule="exact"/>
              <w:jc w:val="left"/>
              <w:rPr>
                <w:rFonts w:ascii="仿宋" w:hAnsi="仿宋" w:eastAsia="仿宋"/>
                <w:sz w:val="24"/>
                <w:szCs w:val="24"/>
              </w:rPr>
            </w:pPr>
            <w:r>
              <w:rPr>
                <w:rFonts w:hint="eastAsia" w:ascii="仿宋" w:hAnsi="仿宋" w:eastAsia="仿宋"/>
                <w:sz w:val="24"/>
                <w:szCs w:val="24"/>
              </w:rPr>
              <w:t>1.不超过</w:t>
            </w:r>
            <w:r>
              <w:rPr>
                <w:rFonts w:hint="eastAsia" w:ascii="仿宋" w:hAnsi="仿宋" w:eastAsia="仿宋"/>
                <w:sz w:val="24"/>
                <w:szCs w:val="24"/>
                <w:lang w:val="en-US" w:eastAsia="zh-CN"/>
              </w:rPr>
              <w:t>500</w:t>
            </w:r>
            <w:r>
              <w:rPr>
                <w:rFonts w:hint="eastAsia" w:ascii="仿宋" w:hAnsi="仿宋" w:eastAsia="仿宋"/>
                <w:sz w:val="24"/>
                <w:szCs w:val="24"/>
              </w:rPr>
              <w:t>元/户</w:t>
            </w:r>
            <w:r>
              <w:rPr>
                <w:rFonts w:hint="eastAsia" w:ascii="仿宋" w:hAnsi="仿宋" w:eastAsia="仿宋"/>
                <w:sz w:val="24"/>
                <w:szCs w:val="24"/>
                <w:lang w:val="en-US" w:eastAsia="zh-CN"/>
              </w:rPr>
              <w:t>/次</w:t>
            </w:r>
            <w:r>
              <w:rPr>
                <w:rFonts w:hint="eastAsia" w:ascii="仿宋" w:hAnsi="仿宋" w:eastAsia="仿宋"/>
                <w:sz w:val="24"/>
                <w:szCs w:val="24"/>
              </w:rPr>
              <w:t>，即XXX元/户的形式，不得以评估价值的百分比形式出现。</w:t>
            </w:r>
          </w:p>
          <w:p w14:paraId="726C2A9A">
            <w:pPr>
              <w:spacing w:line="360" w:lineRule="exact"/>
              <w:jc w:val="left"/>
              <w:rPr>
                <w:rFonts w:hint="eastAsia" w:ascii="宋体"/>
                <w:sz w:val="24"/>
                <w:szCs w:val="24"/>
              </w:rPr>
            </w:pPr>
            <w:r>
              <w:rPr>
                <w:rFonts w:hint="eastAsia" w:ascii="仿宋" w:hAnsi="仿宋" w:eastAsia="仿宋"/>
                <w:sz w:val="24"/>
                <w:szCs w:val="24"/>
              </w:rPr>
              <w:t>2.满足招标文件要求且投标价格最低的投标报价为评标基准价，其价格得分为满分</w:t>
            </w:r>
            <w:r>
              <w:rPr>
                <w:rFonts w:hint="eastAsia" w:ascii="仿宋" w:hAnsi="仿宋" w:eastAsia="仿宋"/>
                <w:sz w:val="24"/>
                <w:szCs w:val="24"/>
                <w:lang w:val="en-US" w:eastAsia="zh-CN"/>
              </w:rPr>
              <w:t>2</w:t>
            </w:r>
            <w:r>
              <w:rPr>
                <w:rFonts w:hint="eastAsia" w:ascii="仿宋" w:hAnsi="仿宋" w:eastAsia="仿宋"/>
                <w:sz w:val="24"/>
                <w:szCs w:val="24"/>
              </w:rPr>
              <w:t>分。</w:t>
            </w:r>
            <w:r>
              <w:rPr>
                <w:rFonts w:hint="eastAsia" w:ascii="仿宋" w:hAnsi="仿宋" w:eastAsia="仿宋"/>
                <w:sz w:val="24"/>
                <w:szCs w:val="24"/>
                <w:lang w:val="en-US" w:eastAsia="zh-CN"/>
              </w:rPr>
              <w:t>投标</w:t>
            </w:r>
            <w:r>
              <w:rPr>
                <w:rFonts w:hint="eastAsia" w:ascii="仿宋" w:hAnsi="仿宋" w:eastAsia="仿宋"/>
                <w:sz w:val="24"/>
                <w:szCs w:val="24"/>
              </w:rPr>
              <w:t>报价水平得分=（评标基准价/投标报价）×</w:t>
            </w:r>
            <w:r>
              <w:rPr>
                <w:rFonts w:hint="eastAsia" w:ascii="仿宋" w:hAnsi="仿宋" w:eastAsia="仿宋"/>
                <w:sz w:val="24"/>
                <w:szCs w:val="24"/>
                <w:lang w:val="en-US" w:eastAsia="zh-CN"/>
              </w:rPr>
              <w:t>2</w:t>
            </w:r>
          </w:p>
        </w:tc>
      </w:tr>
      <w:tr w14:paraId="32E6BBC1">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731" w:hRule="atLeast"/>
        </w:trPr>
        <w:tc>
          <w:tcPr>
            <w:tcW w:w="2797" w:type="dxa"/>
            <w:vMerge w:val="restart"/>
            <w:tcBorders>
              <w:left w:val="single" w:color="auto" w:sz="4" w:space="0"/>
              <w:right w:val="single" w:color="auto" w:sz="6" w:space="0"/>
            </w:tcBorders>
            <w:noWrap/>
            <w:vAlign w:val="center"/>
          </w:tcPr>
          <w:p w14:paraId="6F7EAFC3">
            <w:pPr>
              <w:keepNext w:val="0"/>
              <w:keepLines w:val="0"/>
              <w:pageBreakBefore w:val="0"/>
              <w:widowControl w:val="0"/>
              <w:kinsoku/>
              <w:wordWrap/>
              <w:overflowPunct/>
              <w:topLinePunct w:val="0"/>
              <w:autoSpaceDE/>
              <w:autoSpaceDN/>
              <w:bidi w:val="0"/>
              <w:snapToGrid/>
              <w:spacing w:line="440" w:lineRule="exact"/>
              <w:jc w:val="left"/>
              <w:textAlignment w:val="auto"/>
              <w:rPr>
                <w:rFonts w:hint="eastAsia" w:ascii="仿宋" w:hAnsi="仿宋" w:eastAsia="仿宋" w:cs="仿宋"/>
                <w:sz w:val="24"/>
              </w:rPr>
            </w:pPr>
            <w:r>
              <w:rPr>
                <w:rFonts w:hint="eastAsia" w:ascii="仿宋" w:hAnsi="仿宋" w:eastAsia="仿宋" w:cs="仿宋"/>
                <w:sz w:val="24"/>
                <w:lang w:val="en-US" w:eastAsia="zh-CN"/>
              </w:rPr>
              <w:t>方案部分:40分。方案部分至少应具备下列要求，未提供方案或经三分之二评委认定方案存在重大偏差的，该分项不得分</w:t>
            </w:r>
            <w:r>
              <w:rPr>
                <w:rFonts w:hint="eastAsia" w:ascii="仿宋" w:hAnsi="仿宋" w:eastAsia="仿宋" w:cs="仿宋"/>
                <w:sz w:val="24"/>
              </w:rPr>
              <w:t xml:space="preserve"> </w:t>
            </w:r>
          </w:p>
        </w:tc>
        <w:tc>
          <w:tcPr>
            <w:tcW w:w="1060" w:type="dxa"/>
            <w:tcBorders>
              <w:top w:val="single" w:color="auto" w:sz="6" w:space="0"/>
              <w:left w:val="single" w:color="auto" w:sz="6" w:space="0"/>
              <w:bottom w:val="single" w:color="auto" w:sz="6" w:space="0"/>
              <w:right w:val="single" w:color="auto" w:sz="6" w:space="0"/>
            </w:tcBorders>
            <w:noWrap/>
            <w:vAlign w:val="center"/>
          </w:tcPr>
          <w:p w14:paraId="6A29C43F">
            <w:pPr>
              <w:keepNext w:val="0"/>
              <w:keepLines w:val="0"/>
              <w:pageBreakBefore w:val="0"/>
              <w:widowControl w:val="0"/>
              <w:kinsoku/>
              <w:wordWrap/>
              <w:overflowPunct/>
              <w:topLinePunct w:val="0"/>
              <w:autoSpaceDE/>
              <w:autoSpaceDN/>
              <w:bidi w:val="0"/>
              <w:snapToGrid/>
              <w:spacing w:line="440" w:lineRule="exact"/>
              <w:jc w:val="center"/>
              <w:textAlignment w:val="auto"/>
              <w:rPr>
                <w:rFonts w:hint="eastAsia" w:ascii="仿宋" w:hAnsi="仿宋" w:eastAsia="仿宋" w:cs="仿宋"/>
                <w:sz w:val="24"/>
              </w:rPr>
            </w:pPr>
            <w:r>
              <w:rPr>
                <w:rFonts w:hint="eastAsia" w:ascii="仿宋" w:hAnsi="仿宋" w:eastAsia="仿宋" w:cs="仿宋"/>
                <w:sz w:val="24"/>
                <w:lang w:val="en-US" w:eastAsia="zh-CN"/>
              </w:rPr>
              <w:t>6</w:t>
            </w:r>
          </w:p>
        </w:tc>
        <w:tc>
          <w:tcPr>
            <w:tcW w:w="5883" w:type="dxa"/>
            <w:tcBorders>
              <w:top w:val="single" w:color="auto" w:sz="6" w:space="0"/>
              <w:left w:val="single" w:color="auto" w:sz="6" w:space="0"/>
              <w:bottom w:val="single" w:color="auto" w:sz="6" w:space="0"/>
              <w:right w:val="single" w:color="auto" w:sz="6" w:space="0"/>
            </w:tcBorders>
            <w:noWrap/>
            <w:vAlign w:val="center"/>
          </w:tcPr>
          <w:p w14:paraId="168CEA65">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lang w:val="en-US" w:eastAsia="zh-CN"/>
              </w:rPr>
              <w:t>（1）项目需求理解（6分）:</w:t>
            </w:r>
          </w:p>
          <w:p w14:paraId="6241CAE2">
            <w:pPr>
              <w:spacing w:line="360" w:lineRule="exact"/>
              <w:jc w:val="left"/>
              <w:rPr>
                <w:rFonts w:ascii="宋体"/>
                <w:sz w:val="24"/>
              </w:rPr>
            </w:pPr>
            <w:r>
              <w:rPr>
                <w:rFonts w:hint="eastAsia" w:ascii="仿宋" w:hAnsi="仿宋" w:eastAsia="仿宋"/>
                <w:sz w:val="24"/>
                <w:szCs w:val="24"/>
                <w:lang w:val="en-US" w:eastAsia="zh-CN"/>
              </w:rPr>
              <w:t>投标人根据项目采购需求，结合实际工作情况，阐述对交易价格评估服务项目的综合理解，介绍项目服务内容与目标、评估工作要点分析。总体思路阐述和项目服务内容与目标描述、评估工作要点分析内容详细、切实可行、理解全面、深入、精确。方案优于项目需求的得6分，符合项目需求的得4分，基本符合项目需求的得2分；方案不能符合项目需求或未提供方案的不得分。</w:t>
            </w:r>
          </w:p>
        </w:tc>
      </w:tr>
      <w:tr w14:paraId="3A8EAF68">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669" w:hRule="atLeast"/>
        </w:trPr>
        <w:tc>
          <w:tcPr>
            <w:tcW w:w="2797" w:type="dxa"/>
            <w:vMerge w:val="continue"/>
            <w:tcBorders>
              <w:left w:val="single" w:color="auto" w:sz="4" w:space="0"/>
              <w:right w:val="single" w:color="auto" w:sz="6" w:space="0"/>
            </w:tcBorders>
            <w:noWrap/>
            <w:vAlign w:val="center"/>
          </w:tcPr>
          <w:p w14:paraId="7E612281">
            <w:pPr>
              <w:keepNext w:val="0"/>
              <w:keepLines w:val="0"/>
              <w:pageBreakBefore w:val="0"/>
              <w:widowControl w:val="0"/>
              <w:kinsoku/>
              <w:wordWrap/>
              <w:overflowPunct/>
              <w:topLinePunct w:val="0"/>
              <w:autoSpaceDE/>
              <w:autoSpaceDN/>
              <w:bidi w:val="0"/>
              <w:snapToGrid/>
              <w:spacing w:line="440" w:lineRule="exact"/>
              <w:jc w:val="left"/>
              <w:textAlignment w:val="auto"/>
              <w:rPr>
                <w:rFonts w:hint="eastAsia" w:ascii="仿宋" w:hAnsi="仿宋" w:eastAsia="仿宋" w:cs="仿宋"/>
                <w:sz w:val="24"/>
              </w:rPr>
            </w:pPr>
          </w:p>
        </w:tc>
        <w:tc>
          <w:tcPr>
            <w:tcW w:w="1060" w:type="dxa"/>
            <w:tcBorders>
              <w:top w:val="single" w:color="auto" w:sz="6" w:space="0"/>
              <w:left w:val="single" w:color="auto" w:sz="6" w:space="0"/>
              <w:bottom w:val="single" w:color="auto" w:sz="6" w:space="0"/>
              <w:right w:val="single" w:color="auto" w:sz="6" w:space="0"/>
            </w:tcBorders>
            <w:noWrap/>
            <w:vAlign w:val="center"/>
          </w:tcPr>
          <w:p w14:paraId="6F759849">
            <w:pPr>
              <w:keepNext w:val="0"/>
              <w:keepLines w:val="0"/>
              <w:pageBreakBefore w:val="0"/>
              <w:widowControl w:val="0"/>
              <w:kinsoku/>
              <w:wordWrap/>
              <w:overflowPunct/>
              <w:topLinePunct w:val="0"/>
              <w:autoSpaceDE/>
              <w:autoSpaceDN/>
              <w:bidi w:val="0"/>
              <w:snapToGrid/>
              <w:spacing w:line="440" w:lineRule="exact"/>
              <w:jc w:val="center"/>
              <w:textAlignment w:val="auto"/>
              <w:rPr>
                <w:rFonts w:hint="eastAsia" w:ascii="仿宋" w:hAnsi="仿宋" w:eastAsia="仿宋" w:cs="仿宋"/>
                <w:sz w:val="24"/>
              </w:rPr>
            </w:pPr>
            <w:r>
              <w:rPr>
                <w:rFonts w:hint="eastAsia" w:ascii="仿宋" w:hAnsi="仿宋" w:eastAsia="仿宋" w:cs="仿宋"/>
                <w:sz w:val="24"/>
                <w:lang w:val="en-US" w:eastAsia="zh-CN"/>
              </w:rPr>
              <w:t>5</w:t>
            </w:r>
          </w:p>
        </w:tc>
        <w:tc>
          <w:tcPr>
            <w:tcW w:w="5883" w:type="dxa"/>
            <w:tcBorders>
              <w:top w:val="single" w:color="auto" w:sz="6" w:space="0"/>
              <w:left w:val="single" w:color="auto" w:sz="6" w:space="0"/>
              <w:bottom w:val="single" w:color="auto" w:sz="6" w:space="0"/>
              <w:right w:val="single" w:color="auto" w:sz="6" w:space="0"/>
            </w:tcBorders>
            <w:noWrap/>
            <w:vAlign w:val="center"/>
          </w:tcPr>
          <w:p w14:paraId="5485EBAD">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lang w:val="en-US" w:eastAsia="zh-CN"/>
              </w:rPr>
              <w:t>（2）服务总体方案（5分）：</w:t>
            </w:r>
          </w:p>
          <w:p w14:paraId="44C1F36D">
            <w:pPr>
              <w:spacing w:line="360" w:lineRule="exact"/>
              <w:jc w:val="left"/>
              <w:rPr>
                <w:rFonts w:ascii="宋体"/>
                <w:sz w:val="24"/>
              </w:rPr>
            </w:pPr>
            <w:r>
              <w:rPr>
                <w:rFonts w:hint="eastAsia" w:ascii="仿宋" w:hAnsi="仿宋" w:eastAsia="仿宋"/>
                <w:sz w:val="24"/>
                <w:szCs w:val="24"/>
                <w:lang w:val="en-US" w:eastAsia="zh-CN"/>
              </w:rPr>
              <w:t>投标人根据项目采购需求，提供交易价格评估服务项目的整体服务方案，服务方案内容包括但不限于服务团队组织架构、人力资源配置、项目流程及计划安排、评估技术路线等内容。服务方案内容阐述完整，组织架构、人力资源配置科学合理，项目流程及计划安排合理可行，评估技术路线等内容完整。方案优于项目需求的得5分；符合项目需求的得4分；基本符合项目需求的得2分；方案不能符合要求或未提供方案的不得分。</w:t>
            </w:r>
          </w:p>
        </w:tc>
      </w:tr>
      <w:tr w14:paraId="31FB733D">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4755" w:hRule="atLeast"/>
        </w:trPr>
        <w:tc>
          <w:tcPr>
            <w:tcW w:w="2797" w:type="dxa"/>
            <w:vMerge w:val="continue"/>
            <w:tcBorders>
              <w:left w:val="single" w:color="auto" w:sz="4" w:space="0"/>
              <w:bottom w:val="single" w:color="auto" w:sz="4" w:space="0"/>
              <w:right w:val="single" w:color="auto" w:sz="6" w:space="0"/>
            </w:tcBorders>
            <w:noWrap/>
            <w:vAlign w:val="center"/>
          </w:tcPr>
          <w:p w14:paraId="0E0B0C80">
            <w:pPr>
              <w:spacing w:line="440" w:lineRule="exact"/>
              <w:jc w:val="center"/>
              <w:rPr>
                <w:rFonts w:ascii="宋体"/>
                <w:sz w:val="24"/>
              </w:rPr>
            </w:pPr>
          </w:p>
        </w:tc>
        <w:tc>
          <w:tcPr>
            <w:tcW w:w="1060" w:type="dxa"/>
            <w:tcBorders>
              <w:top w:val="single" w:color="auto" w:sz="6" w:space="0"/>
              <w:left w:val="single" w:color="auto" w:sz="6" w:space="0"/>
              <w:bottom w:val="single" w:color="auto" w:sz="4" w:space="0"/>
              <w:right w:val="single" w:color="auto" w:sz="6" w:space="0"/>
            </w:tcBorders>
            <w:noWrap/>
            <w:vAlign w:val="center"/>
          </w:tcPr>
          <w:p w14:paraId="58EB37C1">
            <w:pPr>
              <w:spacing w:line="440" w:lineRule="exact"/>
              <w:jc w:val="center"/>
              <w:rPr>
                <w:rFonts w:ascii="宋体"/>
                <w:sz w:val="24"/>
              </w:rPr>
            </w:pPr>
            <w:r>
              <w:rPr>
                <w:rFonts w:hint="eastAsia" w:ascii="宋体"/>
                <w:sz w:val="24"/>
                <w:lang w:val="en-US" w:eastAsia="zh-CN"/>
              </w:rPr>
              <w:t>9</w:t>
            </w:r>
          </w:p>
        </w:tc>
        <w:tc>
          <w:tcPr>
            <w:tcW w:w="5883" w:type="dxa"/>
            <w:tcBorders>
              <w:top w:val="single" w:color="auto" w:sz="6" w:space="0"/>
              <w:left w:val="single" w:color="auto" w:sz="6" w:space="0"/>
              <w:bottom w:val="single" w:color="auto" w:sz="6" w:space="0"/>
              <w:right w:val="single" w:color="auto" w:sz="6" w:space="0"/>
            </w:tcBorders>
            <w:noWrap/>
            <w:vAlign w:val="center"/>
          </w:tcPr>
          <w:p w14:paraId="44DB74DC">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lang w:val="en-US" w:eastAsia="zh-CN"/>
              </w:rPr>
              <w:t>（3）分服务内容可行性方案（9分）：</w:t>
            </w:r>
          </w:p>
          <w:p w14:paraId="17173A5E">
            <w:pPr>
              <w:spacing w:line="360" w:lineRule="exact"/>
              <w:jc w:val="left"/>
              <w:rPr>
                <w:rFonts w:ascii="宋体"/>
                <w:sz w:val="24"/>
              </w:rPr>
            </w:pPr>
            <w:r>
              <w:rPr>
                <w:rFonts w:hint="eastAsia" w:ascii="仿宋" w:hAnsi="仿宋" w:eastAsia="仿宋"/>
                <w:sz w:val="24"/>
                <w:szCs w:val="24"/>
                <w:lang w:val="en-US" w:eastAsia="zh-CN"/>
              </w:rPr>
              <w:t>投标人根据项目采购需求中对应各类型服务内容，提供有针对性的详细服务方案，服务方案内容包括但不限于评估团队组织架构、可比实例获取途径、房地产市场调研与评估服务融合模式、人力资源配置、响应时间及服务质效、评估技术路线等内容。服务方案内容阐述完整，组织架构、人力资源配置科学合理，项目流程及计划安排合理可行，评估技术路线等内容完整。方案优于项目需求的得9分；符合项目需求的得6分；基本符合项目需求的得3分；方案不能符合要求或未提供方案的不得分。</w:t>
            </w:r>
          </w:p>
        </w:tc>
      </w:tr>
      <w:tr w14:paraId="6E47584B">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2" w:hRule="atLeast"/>
        </w:trPr>
        <w:tc>
          <w:tcPr>
            <w:tcW w:w="2797" w:type="dxa"/>
            <w:vMerge w:val="continue"/>
            <w:tcBorders>
              <w:top w:val="single" w:color="auto" w:sz="4" w:space="0"/>
              <w:left w:val="single" w:color="auto" w:sz="4" w:space="0"/>
              <w:bottom w:val="single" w:color="auto" w:sz="4" w:space="0"/>
              <w:right w:val="single" w:color="auto" w:sz="6" w:space="0"/>
            </w:tcBorders>
            <w:noWrap/>
            <w:vAlign w:val="center"/>
          </w:tcPr>
          <w:p w14:paraId="646BAA2C">
            <w:pPr>
              <w:spacing w:line="440" w:lineRule="exact"/>
              <w:jc w:val="center"/>
              <w:rPr>
                <w:rFonts w:ascii="宋体"/>
                <w:sz w:val="24"/>
              </w:rPr>
            </w:pPr>
          </w:p>
        </w:tc>
        <w:tc>
          <w:tcPr>
            <w:tcW w:w="1060" w:type="dxa"/>
            <w:tcBorders>
              <w:top w:val="single" w:color="auto" w:sz="4" w:space="0"/>
              <w:left w:val="single" w:color="auto" w:sz="6" w:space="0"/>
              <w:bottom w:val="single" w:color="auto" w:sz="6" w:space="0"/>
              <w:right w:val="single" w:color="auto" w:sz="4" w:space="0"/>
            </w:tcBorders>
            <w:noWrap/>
            <w:vAlign w:val="center"/>
          </w:tcPr>
          <w:p w14:paraId="116C3C38">
            <w:pPr>
              <w:spacing w:line="440" w:lineRule="exact"/>
              <w:jc w:val="center"/>
              <w:rPr>
                <w:rFonts w:ascii="宋体"/>
                <w:sz w:val="24"/>
              </w:rPr>
            </w:pPr>
            <w:r>
              <w:rPr>
                <w:rFonts w:hint="eastAsia" w:ascii="宋体"/>
                <w:sz w:val="24"/>
                <w:lang w:val="en-US" w:eastAsia="zh-CN"/>
              </w:rPr>
              <w:t>6</w:t>
            </w:r>
          </w:p>
        </w:tc>
        <w:tc>
          <w:tcPr>
            <w:tcW w:w="5883" w:type="dxa"/>
            <w:tcBorders>
              <w:top w:val="single" w:color="auto" w:sz="6" w:space="0"/>
              <w:left w:val="single" w:color="auto" w:sz="4" w:space="0"/>
              <w:bottom w:val="single" w:color="auto" w:sz="6" w:space="0"/>
              <w:right w:val="single" w:color="auto" w:sz="6" w:space="0"/>
            </w:tcBorders>
            <w:noWrap/>
            <w:vAlign w:val="center"/>
          </w:tcPr>
          <w:p w14:paraId="5597C83B">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lang w:val="en-US" w:eastAsia="zh-CN"/>
              </w:rPr>
              <w:t>（4）服务质量保障方案（6分）：</w:t>
            </w:r>
          </w:p>
          <w:p w14:paraId="4978A100">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lang w:val="en-US" w:eastAsia="zh-CN"/>
              </w:rPr>
              <w:t>投标人根据项目采购需求，提供服务质量保障措施方案，方案内容包括但不限于质量和进度保障措施、人员管理措施、档案管理措施、人员供给及管理、响应时长、违约承诺、项目配备设施、办公设备等内容。服务质量保障方案内容阐述完整，质量和进度保障措施、人员管理措施、档案管理措施、人员供给及管理科学合理全面，响应时长、违约承诺全面、可行，项目配备设施、办公设备完善合理。方案优于项目需求的得6分；符合项目需求的得4分；基本符合项目需求的得2分；方案不能符合要求或未提供方案的不得分。</w:t>
            </w:r>
          </w:p>
        </w:tc>
      </w:tr>
      <w:tr w14:paraId="11AD7682">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2" w:hRule="atLeast"/>
        </w:trPr>
        <w:tc>
          <w:tcPr>
            <w:tcW w:w="2797" w:type="dxa"/>
            <w:tcBorders>
              <w:left w:val="single" w:color="auto" w:sz="4" w:space="0"/>
              <w:bottom w:val="single" w:color="auto" w:sz="4" w:space="0"/>
              <w:right w:val="single" w:color="auto" w:sz="6" w:space="0"/>
            </w:tcBorders>
            <w:noWrap/>
            <w:vAlign w:val="center"/>
          </w:tcPr>
          <w:p w14:paraId="70A72D23">
            <w:pPr>
              <w:spacing w:line="440" w:lineRule="exact"/>
              <w:jc w:val="center"/>
              <w:rPr>
                <w:rFonts w:ascii="宋体"/>
                <w:sz w:val="24"/>
              </w:rPr>
            </w:pPr>
          </w:p>
        </w:tc>
        <w:tc>
          <w:tcPr>
            <w:tcW w:w="1060" w:type="dxa"/>
            <w:tcBorders>
              <w:top w:val="single" w:color="auto" w:sz="6" w:space="0"/>
              <w:left w:val="single" w:color="auto" w:sz="6" w:space="0"/>
              <w:bottom w:val="single" w:color="auto" w:sz="4" w:space="0"/>
              <w:right w:val="single" w:color="auto" w:sz="4" w:space="0"/>
            </w:tcBorders>
            <w:noWrap/>
            <w:vAlign w:val="center"/>
          </w:tcPr>
          <w:p w14:paraId="2182750A">
            <w:pPr>
              <w:spacing w:line="440" w:lineRule="exact"/>
              <w:jc w:val="center"/>
              <w:rPr>
                <w:rFonts w:hint="default" w:ascii="宋体" w:eastAsia="宋体"/>
                <w:sz w:val="24"/>
                <w:lang w:val="en-US" w:eastAsia="zh-CN"/>
              </w:rPr>
            </w:pPr>
            <w:r>
              <w:rPr>
                <w:rFonts w:hint="eastAsia" w:ascii="宋体"/>
                <w:sz w:val="24"/>
                <w:lang w:val="en-US" w:eastAsia="zh-CN"/>
              </w:rPr>
              <w:t>9</w:t>
            </w:r>
          </w:p>
        </w:tc>
        <w:tc>
          <w:tcPr>
            <w:tcW w:w="5883" w:type="dxa"/>
            <w:tcBorders>
              <w:top w:val="single" w:color="auto" w:sz="6" w:space="0"/>
              <w:left w:val="single" w:color="auto" w:sz="4" w:space="0"/>
              <w:bottom w:val="single" w:color="auto" w:sz="6" w:space="0"/>
              <w:right w:val="single" w:color="auto" w:sz="6" w:space="0"/>
            </w:tcBorders>
            <w:noWrap/>
            <w:vAlign w:val="center"/>
          </w:tcPr>
          <w:p w14:paraId="10F1C0E5">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lang w:val="en-US" w:eastAsia="zh-CN"/>
              </w:rPr>
              <w:t>（5）应急处置方案及风险防控措施（9分）：</w:t>
            </w:r>
          </w:p>
          <w:p w14:paraId="107F012F">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lang w:val="en-US" w:eastAsia="zh-CN"/>
              </w:rPr>
              <w:t>投标人根据项目采购需求，提供项目应急处置方案及风险防控措施，方案内容包括但不限于总体应急机制、各类风险预警措施及与税务部分衔接方案、评估报告与纳税人（自然人、企业）出现分歧时，解决方案及风险防控措施。应急处置方案及风险防控措施阐述完整，总体应急机制、各类风险预警措施及与税务部分衔接方案、评估报告与纳税人（自然人、企业）出现分歧时，解决方案及风险防控措施科学合理、可行性强。方案优于项目需求的得9分；符合项目需求的得6分；基本符合项目需求的得3分；方案不能符合要求或未提供方案的不得分。</w:t>
            </w:r>
          </w:p>
        </w:tc>
      </w:tr>
      <w:tr w14:paraId="2466A4CA">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2" w:hRule="atLeast"/>
        </w:trPr>
        <w:tc>
          <w:tcPr>
            <w:tcW w:w="2797" w:type="dxa"/>
            <w:tcBorders>
              <w:top w:val="single" w:color="auto" w:sz="4" w:space="0"/>
              <w:left w:val="single" w:color="auto" w:sz="6" w:space="0"/>
              <w:bottom w:val="single" w:color="auto" w:sz="4" w:space="0"/>
              <w:right w:val="single" w:color="auto" w:sz="6" w:space="0"/>
            </w:tcBorders>
            <w:noWrap/>
            <w:vAlign w:val="center"/>
          </w:tcPr>
          <w:p w14:paraId="7C9AFA09">
            <w:pPr>
              <w:spacing w:line="440" w:lineRule="exact"/>
              <w:jc w:val="center"/>
              <w:rPr>
                <w:rFonts w:ascii="宋体"/>
                <w:sz w:val="24"/>
              </w:rPr>
            </w:pPr>
          </w:p>
        </w:tc>
        <w:tc>
          <w:tcPr>
            <w:tcW w:w="1060" w:type="dxa"/>
            <w:tcBorders>
              <w:top w:val="single" w:color="auto" w:sz="4" w:space="0"/>
              <w:left w:val="single" w:color="auto" w:sz="6" w:space="0"/>
              <w:bottom w:val="single" w:color="auto" w:sz="6" w:space="0"/>
              <w:right w:val="single" w:color="auto" w:sz="6" w:space="0"/>
            </w:tcBorders>
            <w:noWrap/>
            <w:vAlign w:val="center"/>
          </w:tcPr>
          <w:p w14:paraId="3C00B9D7">
            <w:pPr>
              <w:spacing w:line="440" w:lineRule="exact"/>
              <w:jc w:val="center"/>
              <w:rPr>
                <w:rFonts w:hint="eastAsia" w:ascii="宋体" w:eastAsia="宋体"/>
                <w:sz w:val="24"/>
                <w:lang w:val="en-US" w:eastAsia="zh-CN"/>
              </w:rPr>
            </w:pPr>
            <w:r>
              <w:rPr>
                <w:rFonts w:hint="eastAsia" w:ascii="宋体"/>
                <w:sz w:val="24"/>
                <w:lang w:val="en-US" w:eastAsia="zh-CN"/>
              </w:rPr>
              <w:t>5</w:t>
            </w:r>
          </w:p>
        </w:tc>
        <w:tc>
          <w:tcPr>
            <w:tcW w:w="5883" w:type="dxa"/>
            <w:tcBorders>
              <w:top w:val="single" w:color="auto" w:sz="6" w:space="0"/>
              <w:left w:val="single" w:color="auto" w:sz="6" w:space="0"/>
              <w:bottom w:val="single" w:color="auto" w:sz="6" w:space="0"/>
              <w:right w:val="single" w:color="auto" w:sz="6" w:space="0"/>
            </w:tcBorders>
            <w:noWrap/>
            <w:vAlign w:val="center"/>
          </w:tcPr>
          <w:p w14:paraId="46DC758E">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lang w:val="en-US" w:eastAsia="zh-CN"/>
              </w:rPr>
              <w:t>（6）保密和档案管理方案（5分）：</w:t>
            </w:r>
          </w:p>
          <w:p w14:paraId="5C951706">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lang w:val="en-US" w:eastAsia="zh-CN"/>
              </w:rPr>
              <w:t>投标人根据项目采购需求，提供项目保密和档案管理方案，方案内容包括但不限于保密制度、责任追究制度以及档案管理流程、制度等内容。保密和档案管理方案内容阐述完整，保密制度、责任追究制度、档案管理流程、制度等内容科学合理、可行性强。方案优于项目需求的得5分，符合项目需求的得3分，基本符合项目需求的得1分；方案不能符合项目需求或未提供方案的不得分。</w:t>
            </w:r>
          </w:p>
        </w:tc>
      </w:tr>
      <w:tr w14:paraId="73C4984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2" w:hRule="atLeast"/>
        </w:trPr>
        <w:tc>
          <w:tcPr>
            <w:tcW w:w="2797" w:type="dxa"/>
            <w:vMerge w:val="restart"/>
            <w:tcBorders>
              <w:top w:val="single" w:color="auto" w:sz="4" w:space="0"/>
              <w:left w:val="single" w:color="auto" w:sz="6" w:space="0"/>
              <w:right w:val="single" w:color="auto" w:sz="6" w:space="0"/>
            </w:tcBorders>
            <w:noWrap/>
            <w:vAlign w:val="center"/>
          </w:tcPr>
          <w:p w14:paraId="42132D6F">
            <w:pPr>
              <w:spacing w:line="440" w:lineRule="exact"/>
              <w:jc w:val="center"/>
              <w:rPr>
                <w:rFonts w:ascii="宋体"/>
                <w:sz w:val="24"/>
              </w:rPr>
            </w:pPr>
            <w:r>
              <w:rPr>
                <w:rFonts w:hint="eastAsia" w:ascii="宋体"/>
                <w:sz w:val="24"/>
              </w:rPr>
              <w:t>商务</w:t>
            </w:r>
          </w:p>
          <w:p w14:paraId="74C2CAAC">
            <w:pPr>
              <w:spacing w:line="440" w:lineRule="exact"/>
              <w:jc w:val="center"/>
              <w:rPr>
                <w:rFonts w:ascii="宋体"/>
                <w:sz w:val="24"/>
              </w:rPr>
            </w:pPr>
            <w:r>
              <w:rPr>
                <w:rFonts w:hint="eastAsia" w:ascii="宋体"/>
                <w:sz w:val="24"/>
              </w:rPr>
              <w:t>商务部分</w:t>
            </w:r>
          </w:p>
        </w:tc>
        <w:tc>
          <w:tcPr>
            <w:tcW w:w="1060" w:type="dxa"/>
            <w:vMerge w:val="restart"/>
            <w:tcBorders>
              <w:top w:val="single" w:color="auto" w:sz="6" w:space="0"/>
              <w:left w:val="single" w:color="auto" w:sz="6" w:space="0"/>
              <w:right w:val="single" w:color="auto" w:sz="6" w:space="0"/>
            </w:tcBorders>
            <w:noWrap/>
            <w:vAlign w:val="center"/>
          </w:tcPr>
          <w:p w14:paraId="6FE61008">
            <w:pPr>
              <w:spacing w:line="440" w:lineRule="exact"/>
              <w:jc w:val="center"/>
              <w:rPr>
                <w:rFonts w:hint="default" w:ascii="宋体" w:eastAsia="宋体"/>
                <w:sz w:val="24"/>
                <w:lang w:val="en-US" w:eastAsia="zh-CN"/>
              </w:rPr>
            </w:pPr>
            <w:r>
              <w:rPr>
                <w:rFonts w:hint="eastAsia" w:ascii="宋体"/>
                <w:sz w:val="24"/>
                <w:lang w:val="en-US" w:eastAsia="zh-CN"/>
              </w:rPr>
              <w:t>30</w:t>
            </w:r>
          </w:p>
        </w:tc>
        <w:tc>
          <w:tcPr>
            <w:tcW w:w="5883" w:type="dxa"/>
            <w:tcBorders>
              <w:top w:val="single" w:color="auto" w:sz="6" w:space="0"/>
              <w:left w:val="single" w:color="auto" w:sz="6" w:space="0"/>
              <w:bottom w:val="single" w:color="auto" w:sz="6" w:space="0"/>
              <w:right w:val="single" w:color="auto" w:sz="6" w:space="0"/>
            </w:tcBorders>
            <w:noWrap/>
            <w:vAlign w:val="center"/>
          </w:tcPr>
          <w:p w14:paraId="55060DCC">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lang w:val="en-US" w:eastAsia="zh-CN"/>
              </w:rPr>
              <w:t>（1）投标人针对本项目拟派的项目负责人具备资产评估师资格证书的得5分，没有不得分。（须提供符合要求的资产评估师资格证书和投标人为其缴纳的自2025年10月以来任意一个月社保缴费证明材料复印件并加盖投标人签章，未提供或提供不全的不得分。）</w:t>
            </w:r>
          </w:p>
        </w:tc>
      </w:tr>
      <w:tr w14:paraId="3C4469DC">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2" w:hRule="atLeast"/>
        </w:trPr>
        <w:tc>
          <w:tcPr>
            <w:tcW w:w="2797" w:type="dxa"/>
            <w:vMerge w:val="continue"/>
            <w:tcBorders>
              <w:left w:val="single" w:color="auto" w:sz="6" w:space="0"/>
              <w:right w:val="single" w:color="auto" w:sz="6" w:space="0"/>
            </w:tcBorders>
            <w:noWrap/>
            <w:vAlign w:val="center"/>
          </w:tcPr>
          <w:p w14:paraId="296101B3">
            <w:pPr>
              <w:spacing w:line="440" w:lineRule="exact"/>
              <w:jc w:val="center"/>
              <w:rPr>
                <w:rFonts w:hint="eastAsia" w:ascii="宋体"/>
                <w:sz w:val="24"/>
              </w:rPr>
            </w:pPr>
          </w:p>
        </w:tc>
        <w:tc>
          <w:tcPr>
            <w:tcW w:w="1060" w:type="dxa"/>
            <w:vMerge w:val="continue"/>
            <w:tcBorders>
              <w:left w:val="single" w:color="auto" w:sz="6" w:space="0"/>
              <w:right w:val="single" w:color="auto" w:sz="6" w:space="0"/>
            </w:tcBorders>
            <w:noWrap/>
            <w:vAlign w:val="center"/>
          </w:tcPr>
          <w:p w14:paraId="28DABC12">
            <w:pPr>
              <w:spacing w:line="440" w:lineRule="exact"/>
              <w:jc w:val="center"/>
              <w:rPr>
                <w:rFonts w:ascii="宋体"/>
                <w:sz w:val="24"/>
              </w:rPr>
            </w:pPr>
          </w:p>
        </w:tc>
        <w:tc>
          <w:tcPr>
            <w:tcW w:w="5883" w:type="dxa"/>
            <w:tcBorders>
              <w:top w:val="single" w:color="auto" w:sz="6" w:space="0"/>
              <w:left w:val="single" w:color="auto" w:sz="6" w:space="0"/>
              <w:bottom w:val="single" w:color="auto" w:sz="6" w:space="0"/>
              <w:right w:val="single" w:color="auto" w:sz="6" w:space="0"/>
            </w:tcBorders>
            <w:noWrap/>
            <w:vAlign w:val="center"/>
          </w:tcPr>
          <w:p w14:paraId="6374BCD4">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lang w:val="en-US" w:eastAsia="zh-CN"/>
              </w:rPr>
              <w:t>（2）投标人针对本项目拟派的项目组成员中（项目负责人除外）具有土地估价师证书的，每有一人得2分，本项最多得10分，没有不得分。（注：须在投标文件中提供土地估价师证书和投标人为其缴纳的自2025年10月以来任意一个月社保缴费证明材料复印件并加盖投标人签章，未提供或提供不全的不得分。土地估价师以国土资源部颁发的资格证书或者住房和城乡建设部、自然资源部联合颁发的资格证书为准。原同时取得注册房地产估价师资格证书和土地估价师资格证书，并已换领新的房地产估价师职业资格证书的，可以提供新的房地产估价师职业资格证书）。</w:t>
            </w:r>
          </w:p>
        </w:tc>
      </w:tr>
      <w:tr w14:paraId="0B534677">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2" w:hRule="atLeast"/>
        </w:trPr>
        <w:tc>
          <w:tcPr>
            <w:tcW w:w="2797" w:type="dxa"/>
            <w:vMerge w:val="continue"/>
            <w:tcBorders>
              <w:left w:val="single" w:color="auto" w:sz="6" w:space="0"/>
              <w:right w:val="single" w:color="auto" w:sz="6" w:space="0"/>
            </w:tcBorders>
            <w:noWrap/>
            <w:vAlign w:val="center"/>
          </w:tcPr>
          <w:p w14:paraId="3BB9166F">
            <w:pPr>
              <w:spacing w:line="440" w:lineRule="exact"/>
              <w:jc w:val="center"/>
              <w:rPr>
                <w:rFonts w:hint="eastAsia" w:ascii="宋体"/>
                <w:sz w:val="24"/>
              </w:rPr>
            </w:pPr>
          </w:p>
        </w:tc>
        <w:tc>
          <w:tcPr>
            <w:tcW w:w="1060" w:type="dxa"/>
            <w:vMerge w:val="continue"/>
            <w:tcBorders>
              <w:left w:val="single" w:color="auto" w:sz="6" w:space="0"/>
              <w:right w:val="single" w:color="auto" w:sz="6" w:space="0"/>
            </w:tcBorders>
            <w:noWrap/>
            <w:vAlign w:val="center"/>
          </w:tcPr>
          <w:p w14:paraId="03575E36">
            <w:pPr>
              <w:spacing w:line="440" w:lineRule="exact"/>
              <w:jc w:val="center"/>
              <w:rPr>
                <w:rFonts w:ascii="宋体"/>
                <w:sz w:val="24"/>
              </w:rPr>
            </w:pPr>
          </w:p>
        </w:tc>
        <w:tc>
          <w:tcPr>
            <w:tcW w:w="5883" w:type="dxa"/>
            <w:tcBorders>
              <w:top w:val="single" w:color="auto" w:sz="6" w:space="0"/>
              <w:left w:val="single" w:color="auto" w:sz="6" w:space="0"/>
              <w:bottom w:val="single" w:color="auto" w:sz="6" w:space="0"/>
              <w:right w:val="single" w:color="auto" w:sz="6" w:space="0"/>
            </w:tcBorders>
            <w:noWrap/>
            <w:vAlign w:val="center"/>
          </w:tcPr>
          <w:p w14:paraId="1EA66232">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lang w:val="en-US" w:eastAsia="zh-CN"/>
              </w:rPr>
              <w:t>（3）投标人针对本项目拟派的项目组成员中（项目负责人除外）有自2022年1月1日至今从事过相关项目工作经验的，每提供1人得1分，本项最高5分，需在投标文件中提供相关证明材料复印件（如合同、业务单位盖章证明等，证明材料中须能体现人员信息及工作内容），没有或不能体现的不得分。</w:t>
            </w:r>
          </w:p>
          <w:p w14:paraId="52757FC9">
            <w:pPr>
              <w:spacing w:line="360" w:lineRule="exact"/>
              <w:jc w:val="left"/>
              <w:rPr>
                <w:rFonts w:hint="eastAsia" w:ascii="仿宋" w:hAnsi="仿宋" w:eastAsia="仿宋"/>
                <w:sz w:val="24"/>
                <w:szCs w:val="24"/>
                <w:lang w:val="en-US" w:eastAsia="zh-CN"/>
              </w:rPr>
            </w:pPr>
          </w:p>
        </w:tc>
      </w:tr>
      <w:tr w14:paraId="248059A2">
        <w:tblPrEx>
          <w:tblBorders>
            <w:top w:val="outset" w:color="auto" w:sz="12" w:space="0"/>
            <w:left w:val="outset" w:color="auto" w:sz="12" w:space="0"/>
            <w:bottom w:val="outset" w:color="auto" w:sz="12" w:space="0"/>
            <w:right w:val="outset" w:color="auto" w:sz="12" w:space="0"/>
            <w:insideH w:val="none" w:color="auto" w:sz="0" w:space="0"/>
            <w:insideV w:val="none" w:color="auto" w:sz="0" w:space="0"/>
          </w:tblBorders>
          <w:tblCellMar>
            <w:top w:w="0" w:type="dxa"/>
            <w:left w:w="0" w:type="dxa"/>
            <w:bottom w:w="0" w:type="dxa"/>
            <w:right w:w="0" w:type="dxa"/>
          </w:tblCellMar>
        </w:tblPrEx>
        <w:trPr>
          <w:trHeight w:val="562" w:hRule="atLeast"/>
        </w:trPr>
        <w:tc>
          <w:tcPr>
            <w:tcW w:w="2797" w:type="dxa"/>
            <w:vMerge w:val="continue"/>
            <w:tcBorders>
              <w:left w:val="single" w:color="auto" w:sz="6" w:space="0"/>
              <w:bottom w:val="single" w:color="auto" w:sz="4" w:space="0"/>
              <w:right w:val="single" w:color="auto" w:sz="6" w:space="0"/>
            </w:tcBorders>
            <w:noWrap/>
            <w:vAlign w:val="center"/>
          </w:tcPr>
          <w:p w14:paraId="0CEC18B0">
            <w:pPr>
              <w:spacing w:line="360" w:lineRule="exact"/>
              <w:jc w:val="left"/>
              <w:rPr>
                <w:rFonts w:hint="eastAsia" w:ascii="仿宋" w:hAnsi="仿宋" w:eastAsia="仿宋"/>
                <w:sz w:val="18"/>
                <w:szCs w:val="18"/>
                <w:lang w:val="en-US" w:eastAsia="zh-CN"/>
              </w:rPr>
            </w:pPr>
          </w:p>
        </w:tc>
        <w:tc>
          <w:tcPr>
            <w:tcW w:w="1060" w:type="dxa"/>
            <w:vMerge w:val="continue"/>
            <w:tcBorders>
              <w:left w:val="single" w:color="auto" w:sz="6" w:space="0"/>
              <w:bottom w:val="single" w:color="auto" w:sz="6" w:space="0"/>
              <w:right w:val="single" w:color="auto" w:sz="6" w:space="0"/>
            </w:tcBorders>
            <w:noWrap/>
            <w:vAlign w:val="center"/>
          </w:tcPr>
          <w:p w14:paraId="1839DBFE">
            <w:pPr>
              <w:spacing w:line="360" w:lineRule="exact"/>
              <w:jc w:val="left"/>
              <w:rPr>
                <w:rFonts w:hint="eastAsia" w:ascii="仿宋" w:hAnsi="仿宋" w:eastAsia="仿宋"/>
                <w:sz w:val="18"/>
                <w:szCs w:val="18"/>
                <w:lang w:val="en-US" w:eastAsia="zh-CN"/>
              </w:rPr>
            </w:pPr>
          </w:p>
        </w:tc>
        <w:tc>
          <w:tcPr>
            <w:tcW w:w="5883" w:type="dxa"/>
            <w:tcBorders>
              <w:top w:val="single" w:color="auto" w:sz="6" w:space="0"/>
              <w:left w:val="single" w:color="auto" w:sz="6" w:space="0"/>
              <w:bottom w:val="single" w:color="auto" w:sz="6" w:space="0"/>
              <w:right w:val="single" w:color="auto" w:sz="6" w:space="0"/>
            </w:tcBorders>
            <w:noWrap/>
            <w:vAlign w:val="center"/>
          </w:tcPr>
          <w:p w14:paraId="52E03BCE">
            <w:pPr>
              <w:spacing w:line="360" w:lineRule="exact"/>
              <w:jc w:val="left"/>
              <w:rPr>
                <w:rFonts w:hint="eastAsia" w:ascii="仿宋" w:hAnsi="仿宋" w:eastAsia="仿宋"/>
                <w:sz w:val="24"/>
                <w:szCs w:val="24"/>
                <w:lang w:val="en-US" w:eastAsia="zh-CN"/>
              </w:rPr>
            </w:pPr>
            <w:r>
              <w:rPr>
                <w:rFonts w:hint="eastAsia" w:ascii="仿宋" w:hAnsi="仿宋" w:eastAsia="仿宋"/>
                <w:sz w:val="24"/>
                <w:szCs w:val="24"/>
                <w:lang w:val="en-US" w:eastAsia="zh-CN"/>
              </w:rPr>
              <w:t>（4）投标人自2022年1月1日以来具有类似服务业绩的，每有一个得2分，本项最高10分。（注：须在投标文件中提供合同复印件并加盖投标人签章，未提供不得分。时间以合同时间为准。）</w:t>
            </w:r>
          </w:p>
        </w:tc>
      </w:tr>
    </w:tbl>
    <w:p w14:paraId="10351D2A">
      <w:pPr>
        <w:spacing w:line="360" w:lineRule="exact"/>
        <w:jc w:val="left"/>
        <w:rPr>
          <w:rFonts w:hint="eastAsia" w:ascii="仿宋" w:hAnsi="仿宋" w:eastAsia="仿宋"/>
          <w:sz w:val="18"/>
          <w:szCs w:val="18"/>
          <w:lang w:val="en-US" w:eastAsia="zh-CN"/>
        </w:rPr>
      </w:pPr>
    </w:p>
    <w:p w14:paraId="678E6BCC">
      <w:pPr>
        <w:spacing w:line="440" w:lineRule="exact"/>
        <w:ind w:firstLine="540"/>
        <w:rPr>
          <w:rFonts w:hint="eastAsia" w:ascii="宋体"/>
          <w:sz w:val="24"/>
          <w:highlight w:val="none"/>
        </w:rPr>
      </w:pPr>
      <w:r>
        <w:rPr>
          <w:rFonts w:hint="eastAsia" w:ascii="宋体"/>
          <w:sz w:val="24"/>
        </w:rPr>
        <w:t>注：</w:t>
      </w:r>
      <w:r>
        <w:rPr>
          <w:rFonts w:hint="eastAsia" w:ascii="宋体"/>
          <w:sz w:val="24"/>
          <w:highlight w:val="none"/>
          <w:lang w:val="en-US" w:eastAsia="zh-CN"/>
        </w:rPr>
        <w:t>1、</w:t>
      </w:r>
      <w:r>
        <w:rPr>
          <w:rFonts w:hint="eastAsia" w:ascii="宋体"/>
          <w:sz w:val="24"/>
          <w:highlight w:val="none"/>
        </w:rPr>
        <w:t>响应文件中未提供评分标准中涉及的证书证明等资料复印件（加盖响应人公章）的，相应条款不得分。</w:t>
      </w:r>
    </w:p>
    <w:p w14:paraId="203B30B8">
      <w:pPr>
        <w:spacing w:line="440" w:lineRule="exact"/>
        <w:ind w:firstLine="960" w:firstLineChars="400"/>
        <w:rPr>
          <w:rFonts w:hint="default" w:ascii="宋体" w:eastAsia="宋体"/>
          <w:sz w:val="24"/>
          <w:highlight w:val="none"/>
          <w:lang w:val="en-US" w:eastAsia="zh-CN"/>
        </w:rPr>
      </w:pPr>
      <w:r>
        <w:rPr>
          <w:rFonts w:hint="eastAsia" w:ascii="宋体"/>
          <w:sz w:val="24"/>
          <w:highlight w:val="none"/>
          <w:lang w:val="en-US" w:eastAsia="zh-CN"/>
        </w:rPr>
        <w:t>2、工作经验、业绩不可重复计算。</w:t>
      </w:r>
    </w:p>
    <w:p w14:paraId="02D5DF7C">
      <w:pPr>
        <w:spacing w:line="440" w:lineRule="exact"/>
        <w:ind w:firstLine="960" w:firstLineChars="400"/>
        <w:rPr>
          <w:rFonts w:hint="eastAsia" w:ascii="宋体" w:eastAsia="宋体"/>
          <w:sz w:val="24"/>
          <w:highlight w:val="none"/>
          <w:lang w:val="en-US" w:eastAsia="zh-CN"/>
        </w:rPr>
      </w:pPr>
      <w:r>
        <w:rPr>
          <w:rFonts w:hint="eastAsia" w:ascii="宋体"/>
          <w:sz w:val="24"/>
          <w:highlight w:val="none"/>
          <w:lang w:val="en-US" w:eastAsia="zh-CN"/>
        </w:rPr>
        <w:t>3、异常低价投标(响应)审查程序:根据苏财购</w:t>
      </w:r>
      <w:r>
        <w:rPr>
          <w:rFonts w:hint="eastAsia" w:ascii="微软雅黑" w:hAnsi="微软雅黑" w:eastAsia="微软雅黑" w:cs="微软雅黑"/>
          <w:sz w:val="24"/>
          <w:highlight w:val="none"/>
          <w:lang w:val="en-US" w:eastAsia="zh-CN"/>
        </w:rPr>
        <w:t>〔</w:t>
      </w:r>
      <w:r>
        <w:rPr>
          <w:rFonts w:hint="eastAsia" w:ascii="宋体"/>
          <w:sz w:val="24"/>
          <w:highlight w:val="none"/>
          <w:lang w:val="en-US" w:eastAsia="zh-CN"/>
        </w:rPr>
        <w:t>2025</w:t>
      </w:r>
      <w:r>
        <w:rPr>
          <w:rFonts w:hint="eastAsia" w:ascii="微软雅黑" w:hAnsi="微软雅黑" w:eastAsia="微软雅黑" w:cs="微软雅黑"/>
          <w:sz w:val="24"/>
          <w:highlight w:val="none"/>
          <w:lang w:val="en-US" w:eastAsia="zh-CN"/>
        </w:rPr>
        <w:t>〕</w:t>
      </w:r>
      <w:r>
        <w:rPr>
          <w:rFonts w:hint="eastAsia" w:ascii="宋体"/>
          <w:sz w:val="24"/>
          <w:highlight w:val="none"/>
          <w:lang w:val="en-US" w:eastAsia="zh-CN"/>
        </w:rPr>
        <w:t>62号文件，投标(响应)报价低于采购项目预算50%的，即投标(响应)报价&lt;采购项目预算x50%，投标单位需提供项目具体成本测算等与报价合理性相关的书面说明及相关证明材料，投标(响应)供应商不提供书面说明、证明材料,或者提供的书面说明、证明材料不能证明其报价合理性的，评审委员会将其作为无效投标(响应)处理。</w:t>
      </w:r>
    </w:p>
    <w:p w14:paraId="5DCA5B5B">
      <w:pPr>
        <w:spacing w:line="440" w:lineRule="exact"/>
        <w:ind w:firstLine="540"/>
        <w:rPr>
          <w:rFonts w:ascii="宋体"/>
          <w:sz w:val="24"/>
        </w:rPr>
      </w:pPr>
      <w:r>
        <w:rPr>
          <w:rFonts w:hint="eastAsia" w:ascii="宋体"/>
          <w:sz w:val="24"/>
          <w:highlight w:val="none"/>
        </w:rPr>
        <w:t>评标委员会根据投标人综合得分，由高到低顺序排列</w:t>
      </w:r>
      <w:r>
        <w:rPr>
          <w:rFonts w:hint="eastAsia" w:ascii="宋体"/>
          <w:sz w:val="24"/>
        </w:rPr>
        <w:t>，投标文件满足招标文件全部实质性要求，且按照评审因素的量化指标评审得分最高</w:t>
      </w:r>
      <w:r>
        <w:rPr>
          <w:rFonts w:hint="eastAsia" w:ascii="宋体"/>
          <w:sz w:val="24"/>
          <w:lang w:val="en-US" w:eastAsia="zh-CN"/>
        </w:rPr>
        <w:t>和次高</w:t>
      </w:r>
      <w:r>
        <w:rPr>
          <w:rFonts w:hint="eastAsia" w:ascii="宋体"/>
          <w:sz w:val="24"/>
        </w:rPr>
        <w:t>的投标人为排名第一</w:t>
      </w:r>
      <w:r>
        <w:rPr>
          <w:rFonts w:hint="eastAsia" w:ascii="宋体"/>
          <w:sz w:val="24"/>
          <w:lang w:val="en-US" w:eastAsia="zh-CN"/>
        </w:rPr>
        <w:t>和第二</w:t>
      </w:r>
      <w:r>
        <w:rPr>
          <w:rFonts w:hint="eastAsia" w:ascii="宋体"/>
          <w:sz w:val="24"/>
        </w:rPr>
        <w:t>中标候选人。</w:t>
      </w:r>
    </w:p>
    <w:p w14:paraId="371FA1A1">
      <w:pPr>
        <w:spacing w:line="440" w:lineRule="exact"/>
        <w:ind w:firstLine="720" w:firstLineChars="300"/>
        <w:rPr>
          <w:rFonts w:ascii="宋体"/>
          <w:sz w:val="24"/>
        </w:rPr>
      </w:pPr>
      <w:r>
        <w:rPr>
          <w:rFonts w:hint="eastAsia" w:ascii="宋体"/>
          <w:sz w:val="24"/>
        </w:rPr>
        <w:t>24.4磋商结束后，成交结果将在网上进行公告。磋商供应商对采购过程和成交结果有质疑的必须在相关法律法规规定的时间内提出。</w:t>
      </w:r>
    </w:p>
    <w:p w14:paraId="538862B9">
      <w:pPr>
        <w:spacing w:line="440" w:lineRule="exact"/>
        <w:ind w:firstLine="540"/>
        <w:rPr>
          <w:rFonts w:ascii="宋体"/>
          <w:sz w:val="24"/>
        </w:rPr>
      </w:pPr>
      <w:r>
        <w:rPr>
          <w:rFonts w:hint="eastAsia" w:ascii="宋体"/>
          <w:sz w:val="24"/>
        </w:rPr>
        <w:t xml:space="preserve">  24.5成交候选人在公示期间，如经查实从参加该成交项目之日起计算所参加的政府采购活动前三年内，在经营活动中有行贿犯罪记录的，采购人将取消其成交候选人资格。</w:t>
      </w:r>
    </w:p>
    <w:p w14:paraId="324026C1">
      <w:pPr>
        <w:spacing w:line="400" w:lineRule="exact"/>
        <w:rPr>
          <w:rFonts w:hint="eastAsia" w:ascii="宋体" w:hAnsi="宋体" w:cs="宋体"/>
          <w:b/>
          <w:bCs/>
          <w:sz w:val="28"/>
          <w:szCs w:val="28"/>
        </w:rPr>
      </w:pPr>
      <w:r>
        <w:rPr>
          <w:rFonts w:hint="eastAsia" w:ascii="宋体" w:hAnsi="宋体" w:cs="宋体"/>
          <w:b/>
          <w:bCs/>
          <w:sz w:val="28"/>
          <w:szCs w:val="28"/>
        </w:rPr>
        <w:t>25.磋商过程保密</w:t>
      </w:r>
    </w:p>
    <w:p w14:paraId="621B81E5">
      <w:pPr>
        <w:spacing w:line="440" w:lineRule="exact"/>
        <w:ind w:firstLine="540"/>
        <w:rPr>
          <w:rFonts w:ascii="宋体"/>
          <w:sz w:val="24"/>
        </w:rPr>
      </w:pPr>
      <w:r>
        <w:rPr>
          <w:rFonts w:hint="eastAsia" w:ascii="宋体"/>
          <w:sz w:val="24"/>
        </w:rPr>
        <w:t xml:space="preserve">  25.1在宣布确定成交之前，凡属于审查、澄清、磋商、比较响应文件和确定成交意向等有关信息，均不得泄露给任何与磋商工作无关的人员。</w:t>
      </w:r>
    </w:p>
    <w:p w14:paraId="5453087B">
      <w:pPr>
        <w:spacing w:line="440" w:lineRule="exact"/>
        <w:ind w:firstLine="540"/>
        <w:rPr>
          <w:rFonts w:ascii="宋体"/>
          <w:sz w:val="24"/>
        </w:rPr>
      </w:pPr>
      <w:r>
        <w:rPr>
          <w:rFonts w:hint="eastAsia" w:ascii="宋体"/>
          <w:sz w:val="24"/>
        </w:rPr>
        <w:t xml:space="preserve">  25.2磋商供应商不得探听上述信息，不得以任何行为影响磋商过程，否则将被取消成交资格。</w:t>
      </w:r>
    </w:p>
    <w:p w14:paraId="10792BCE">
      <w:pPr>
        <w:spacing w:line="400" w:lineRule="exact"/>
        <w:ind w:firstLine="540"/>
        <w:rPr>
          <w:rFonts w:ascii="宋体"/>
          <w:sz w:val="24"/>
        </w:rPr>
      </w:pPr>
      <w:r>
        <w:rPr>
          <w:rFonts w:hint="eastAsia" w:ascii="宋体"/>
          <w:sz w:val="24"/>
        </w:rPr>
        <w:t xml:space="preserve">  25.3在磋商期间，采购人将指定联络员与磋商供应商进行联络。</w:t>
      </w:r>
    </w:p>
    <w:p w14:paraId="13923E81">
      <w:pPr>
        <w:spacing w:line="400" w:lineRule="exact"/>
        <w:jc w:val="center"/>
        <w:rPr>
          <w:rFonts w:ascii="宋体" w:hAnsi="宋体" w:cs="宋体"/>
          <w:b/>
          <w:bCs/>
          <w:sz w:val="28"/>
          <w:szCs w:val="28"/>
        </w:rPr>
      </w:pPr>
      <w:r>
        <w:rPr>
          <w:rFonts w:hint="eastAsia" w:ascii="宋体" w:hAnsi="宋体" w:cs="宋体"/>
          <w:b/>
          <w:bCs/>
          <w:sz w:val="28"/>
          <w:szCs w:val="28"/>
        </w:rPr>
        <w:t>六、确定成交及签订合同</w:t>
      </w:r>
    </w:p>
    <w:p w14:paraId="6C7484F8">
      <w:pPr>
        <w:spacing w:line="400" w:lineRule="exact"/>
        <w:rPr>
          <w:rFonts w:ascii="宋体" w:hAnsi="宋体" w:cs="宋体"/>
          <w:b/>
          <w:bCs/>
          <w:sz w:val="28"/>
          <w:szCs w:val="28"/>
        </w:rPr>
      </w:pPr>
      <w:r>
        <w:rPr>
          <w:rFonts w:hint="eastAsia" w:ascii="宋体" w:hAnsi="宋体" w:cs="宋体"/>
          <w:b/>
          <w:bCs/>
          <w:sz w:val="28"/>
          <w:szCs w:val="28"/>
        </w:rPr>
        <w:t>26.确定成交供应商</w:t>
      </w:r>
    </w:p>
    <w:p w14:paraId="4D1E2171">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26.1采购人将从磋商小组推荐的符合采购需求的成交候选人中按排名先后确定成交供应商。</w:t>
      </w:r>
    </w:p>
    <w:p w14:paraId="17F5D5ED">
      <w:pPr>
        <w:pStyle w:val="26"/>
        <w:spacing w:after="0" w:line="400" w:lineRule="exact"/>
        <w:ind w:left="0" w:leftChars="0"/>
        <w:rPr>
          <w:rFonts w:ascii="宋体" w:hAnsi="宋体" w:cs="宋体"/>
          <w:b/>
          <w:bCs/>
          <w:sz w:val="28"/>
          <w:szCs w:val="28"/>
        </w:rPr>
      </w:pPr>
      <w:r>
        <w:rPr>
          <w:rFonts w:hint="eastAsia" w:ascii="宋体" w:hAnsi="宋体" w:cs="宋体"/>
          <w:b/>
          <w:bCs/>
          <w:sz w:val="28"/>
          <w:szCs w:val="28"/>
        </w:rPr>
        <w:t>27. 采购人有接受和拒绝任何或所有磋商文件的权利</w:t>
      </w:r>
    </w:p>
    <w:p w14:paraId="4D1CB1D3">
      <w:pPr>
        <w:spacing w:line="400" w:lineRule="exact"/>
        <w:rPr>
          <w:rFonts w:ascii="宋体"/>
          <w:sz w:val="24"/>
        </w:rPr>
      </w:pPr>
      <w:r>
        <w:rPr>
          <w:rFonts w:hint="eastAsia" w:ascii="宋体" w:hAnsi="宋体" w:eastAsia="宋体" w:cs="宋体"/>
          <w:b/>
          <w:bCs/>
          <w:kern w:val="2"/>
          <w:sz w:val="28"/>
          <w:szCs w:val="28"/>
          <w:lang w:val="en-US" w:eastAsia="zh-CN" w:bidi="ar-SA"/>
        </w:rPr>
        <w:t>28.</w:t>
      </w:r>
      <w:r>
        <w:rPr>
          <w:rFonts w:hint="eastAsia" w:ascii="宋体"/>
          <w:sz w:val="24"/>
        </w:rPr>
        <w:t>采购人保留在确定成交之前任何时候接受和拒绝任何磋商文件，宣布磋商程序无效或拒绝所有磋商的权利，对受影响的磋商供应商不承担任何责任，也无义务向磋商供应商解释采取这一行动的原因和理由。</w:t>
      </w:r>
    </w:p>
    <w:p w14:paraId="60DEC57D">
      <w:pPr>
        <w:tabs>
          <w:tab w:val="left" w:pos="9741"/>
        </w:tabs>
        <w:spacing w:line="400" w:lineRule="exact"/>
        <w:rPr>
          <w:rFonts w:ascii="宋体" w:hAnsi="宋体" w:cs="宋体"/>
          <w:b/>
          <w:bCs/>
          <w:color w:val="000000"/>
          <w:sz w:val="28"/>
          <w:szCs w:val="28"/>
        </w:rPr>
      </w:pPr>
      <w:r>
        <w:rPr>
          <w:rFonts w:hint="eastAsia" w:ascii="宋体" w:hAnsi="宋体" w:cs="宋体"/>
          <w:b/>
          <w:bCs/>
          <w:color w:val="000000"/>
          <w:sz w:val="28"/>
          <w:szCs w:val="28"/>
        </w:rPr>
        <w:t>29.采购人在确定成交时变更采购服务内容的权利</w:t>
      </w:r>
    </w:p>
    <w:p w14:paraId="5D4B4472">
      <w:pPr>
        <w:spacing w:line="400" w:lineRule="exact"/>
        <w:ind w:firstLine="540"/>
        <w:rPr>
          <w:rFonts w:ascii="宋体"/>
          <w:sz w:val="24"/>
        </w:rPr>
      </w:pPr>
      <w:r>
        <w:rPr>
          <w:rFonts w:hint="eastAsia" w:ascii="宋体" w:hAnsi="宋体" w:cs="宋体"/>
          <w:color w:val="000000"/>
          <w:sz w:val="28"/>
          <w:szCs w:val="28"/>
        </w:rPr>
        <w:t xml:space="preserve">  </w:t>
      </w:r>
      <w:r>
        <w:rPr>
          <w:rFonts w:hint="eastAsia" w:ascii="宋体"/>
          <w:sz w:val="24"/>
        </w:rPr>
        <w:t>采购人在确定成交时有权对本次采购清单中所述服务内容根据自己需求进行合理变更。</w:t>
      </w:r>
    </w:p>
    <w:p w14:paraId="2B8DA2CE">
      <w:pPr>
        <w:spacing w:line="400" w:lineRule="exact"/>
        <w:rPr>
          <w:rFonts w:ascii="宋体" w:hAnsi="宋体" w:cs="宋体"/>
          <w:b/>
          <w:bCs/>
          <w:sz w:val="28"/>
          <w:szCs w:val="28"/>
        </w:rPr>
      </w:pPr>
      <w:r>
        <w:rPr>
          <w:rFonts w:hint="eastAsia" w:ascii="宋体" w:hAnsi="宋体" w:cs="宋体"/>
          <w:b/>
          <w:bCs/>
          <w:sz w:val="28"/>
          <w:szCs w:val="28"/>
        </w:rPr>
        <w:t>30.成交通知书</w:t>
      </w:r>
    </w:p>
    <w:p w14:paraId="73AB870F">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30.1在磋商结束后三个工作日内，采购人向成交供应商发出成交通知书。</w:t>
      </w:r>
    </w:p>
    <w:p w14:paraId="16693C91">
      <w:pPr>
        <w:spacing w:line="400" w:lineRule="exact"/>
        <w:ind w:firstLine="540"/>
        <w:rPr>
          <w:rFonts w:ascii="宋体"/>
          <w:sz w:val="24"/>
        </w:rPr>
      </w:pPr>
      <w:r>
        <w:rPr>
          <w:rFonts w:hint="eastAsia" w:ascii="宋体"/>
          <w:sz w:val="24"/>
        </w:rPr>
        <w:t xml:space="preserve">  30.2成交供应商在接到采购人通知后五个工作日内必须到代理单位领取成交通知书。</w:t>
      </w:r>
    </w:p>
    <w:p w14:paraId="5E4552BA">
      <w:pPr>
        <w:spacing w:line="400" w:lineRule="exact"/>
        <w:ind w:firstLine="540"/>
        <w:rPr>
          <w:rFonts w:ascii="宋体"/>
          <w:sz w:val="24"/>
        </w:rPr>
      </w:pPr>
      <w:r>
        <w:rPr>
          <w:rFonts w:hint="eastAsia" w:ascii="宋体"/>
          <w:sz w:val="24"/>
        </w:rPr>
        <w:t xml:space="preserve">  30.3成交通知书对采购人及成交供应商同时均具法律效力。</w:t>
      </w:r>
    </w:p>
    <w:p w14:paraId="2483916C">
      <w:pPr>
        <w:tabs>
          <w:tab w:val="left" w:pos="9741"/>
        </w:tabs>
        <w:spacing w:line="400" w:lineRule="exact"/>
        <w:rPr>
          <w:rFonts w:ascii="宋体" w:hAnsi="宋体" w:cs="宋体"/>
          <w:b/>
          <w:bCs/>
          <w:sz w:val="28"/>
          <w:szCs w:val="28"/>
        </w:rPr>
      </w:pPr>
      <w:r>
        <w:rPr>
          <w:rFonts w:hint="eastAsia" w:ascii="宋体" w:hAnsi="宋体" w:cs="宋体"/>
          <w:b/>
          <w:bCs/>
          <w:sz w:val="28"/>
          <w:szCs w:val="28"/>
        </w:rPr>
        <w:t>31.签订合同</w:t>
      </w:r>
    </w:p>
    <w:p w14:paraId="666EACA1">
      <w:pPr>
        <w:spacing w:line="400" w:lineRule="exact"/>
        <w:ind w:firstLine="540"/>
        <w:rPr>
          <w:rFonts w:ascii="宋体"/>
          <w:sz w:val="24"/>
        </w:rPr>
      </w:pPr>
      <w:r>
        <w:rPr>
          <w:rFonts w:hint="eastAsia" w:ascii="宋体" w:hAnsi="宋体" w:cs="宋体"/>
          <w:sz w:val="28"/>
          <w:szCs w:val="28"/>
        </w:rPr>
        <w:t xml:space="preserve">  </w:t>
      </w:r>
      <w:r>
        <w:rPr>
          <w:rFonts w:hint="eastAsia" w:ascii="宋体"/>
          <w:sz w:val="24"/>
        </w:rPr>
        <w:t>31.1成交人应在成交通知书发出之日起十日内与采购人签订合同。磋商文件、成交人的响应文件及澄清文件等，均为合同的组成部分。</w:t>
      </w:r>
    </w:p>
    <w:p w14:paraId="3EE198DF">
      <w:pPr>
        <w:spacing w:line="400" w:lineRule="exact"/>
        <w:ind w:firstLine="540"/>
        <w:rPr>
          <w:rFonts w:ascii="宋体"/>
          <w:sz w:val="24"/>
        </w:rPr>
      </w:pPr>
      <w:r>
        <w:rPr>
          <w:rFonts w:hint="eastAsia" w:ascii="宋体"/>
          <w:sz w:val="24"/>
        </w:rPr>
        <w:t xml:space="preserve">  31.2成交人自成交通知书发出之日起三十日内无正当理由不与采购人签订合同的，将取消中标人资格并接受采购单位处罚。</w:t>
      </w:r>
    </w:p>
    <w:p w14:paraId="6FB26A91">
      <w:pPr>
        <w:spacing w:line="400" w:lineRule="exact"/>
        <w:ind w:firstLine="540"/>
        <w:rPr>
          <w:rFonts w:ascii="宋体"/>
          <w:sz w:val="24"/>
        </w:rPr>
      </w:pPr>
      <w:r>
        <w:rPr>
          <w:rFonts w:hint="eastAsia" w:ascii="宋体"/>
          <w:sz w:val="24"/>
        </w:rPr>
        <w:t xml:space="preserve">  31.3成交人若无正当理由放弃成交资格或不按期履行相关义务的，采购人将有充分理由取消该授标。采购人重新招标。</w:t>
      </w:r>
    </w:p>
    <w:p w14:paraId="2AAF286D">
      <w:pPr>
        <w:spacing w:line="380" w:lineRule="exact"/>
        <w:ind w:firstLine="540"/>
        <w:rPr>
          <w:rFonts w:ascii="宋体"/>
          <w:sz w:val="24"/>
        </w:rPr>
      </w:pPr>
      <w:r>
        <w:rPr>
          <w:rFonts w:hint="eastAsia" w:ascii="宋体"/>
          <w:sz w:val="24"/>
        </w:rPr>
        <w:t xml:space="preserve">  31.4磋商文件、成交供应商的响应文件、对响应文件的书面澄清、成交通知书、成交供应商回执等均为签订合同依据。</w:t>
      </w:r>
    </w:p>
    <w:p w14:paraId="1CAE98DE">
      <w:pPr>
        <w:numPr>
          <w:ilvl w:val="0"/>
          <w:numId w:val="6"/>
        </w:numPr>
        <w:tabs>
          <w:tab w:val="left" w:pos="9741"/>
        </w:tabs>
        <w:spacing w:line="380" w:lineRule="exact"/>
        <w:rPr>
          <w:rFonts w:hint="eastAsia" w:ascii="宋体" w:hAnsi="宋体" w:cs="宋体"/>
          <w:b/>
          <w:bCs/>
          <w:sz w:val="28"/>
          <w:szCs w:val="28"/>
        </w:rPr>
      </w:pPr>
      <w:r>
        <w:rPr>
          <w:rFonts w:hint="eastAsia" w:ascii="宋体" w:hAnsi="宋体" w:cs="宋体"/>
          <w:b/>
          <w:bCs/>
          <w:sz w:val="28"/>
          <w:szCs w:val="28"/>
        </w:rPr>
        <w:t>质疑处理</w:t>
      </w:r>
    </w:p>
    <w:p w14:paraId="46734BB0">
      <w:pPr>
        <w:snapToGrid w:val="0"/>
        <w:spacing w:line="480" w:lineRule="exact"/>
        <w:ind w:firstLine="480" w:firstLineChars="200"/>
        <w:rPr>
          <w:rFonts w:ascii="宋体" w:hAnsi="宋体"/>
          <w:color w:val="000000"/>
          <w:sz w:val="24"/>
          <w:szCs w:val="24"/>
        </w:rPr>
      </w:pPr>
      <w:r>
        <w:rPr>
          <w:rFonts w:hint="eastAsia" w:ascii="宋体" w:hAnsi="宋体"/>
          <w:color w:val="000000"/>
          <w:sz w:val="24"/>
          <w:szCs w:val="24"/>
          <w:lang w:val="en-US" w:eastAsia="zh-CN"/>
        </w:rPr>
        <w:t>32</w:t>
      </w:r>
      <w:r>
        <w:rPr>
          <w:rFonts w:hint="eastAsia" w:ascii="宋体" w:hAnsi="宋体"/>
          <w:color w:val="000000"/>
          <w:sz w:val="24"/>
          <w:szCs w:val="24"/>
        </w:rPr>
        <w:t>.1 提出质疑的供应商应当是参与所质疑项目采购活动的供应商。潜在供应商依法获取其可质疑的采购文件的，可以对采购文件提出质疑。</w:t>
      </w:r>
    </w:p>
    <w:p w14:paraId="48B880F1">
      <w:pPr>
        <w:snapToGrid w:val="0"/>
        <w:spacing w:line="480" w:lineRule="exact"/>
        <w:ind w:firstLine="480" w:firstLineChars="200"/>
        <w:rPr>
          <w:rFonts w:ascii="宋体" w:hAnsi="宋体"/>
          <w:color w:val="000000"/>
          <w:sz w:val="24"/>
          <w:szCs w:val="24"/>
        </w:rPr>
      </w:pPr>
      <w:r>
        <w:rPr>
          <w:rFonts w:hint="eastAsia" w:ascii="宋体" w:hAnsi="宋体"/>
          <w:color w:val="000000"/>
          <w:sz w:val="24"/>
          <w:szCs w:val="24"/>
          <w:lang w:val="en-US" w:eastAsia="zh-CN"/>
        </w:rPr>
        <w:t>32</w:t>
      </w:r>
      <w:r>
        <w:rPr>
          <w:rFonts w:hint="eastAsia" w:ascii="宋体" w:hAnsi="宋体"/>
          <w:color w:val="000000"/>
          <w:sz w:val="24"/>
          <w:szCs w:val="24"/>
        </w:rPr>
        <w:t>.2供应商认为采购文件、采购过程和采购结果使自己的权益受到损害的，可以在知道或应知其权益受到损害之日起七个工作日内，以书面形式根据下述29.4条款的规定向代理单位或采购人提出质疑。上述应知其权益受到损害之日，是指：</w:t>
      </w:r>
    </w:p>
    <w:p w14:paraId="0EA60C7E">
      <w:pPr>
        <w:snapToGrid w:val="0"/>
        <w:spacing w:line="480" w:lineRule="exact"/>
        <w:ind w:firstLine="480" w:firstLineChars="200"/>
        <w:rPr>
          <w:rFonts w:ascii="Times New Roman" w:hAnsi="宋体" w:cs="宋体"/>
          <w:color w:val="000000"/>
          <w:kern w:val="0"/>
          <w:sz w:val="24"/>
          <w:szCs w:val="24"/>
        </w:rPr>
      </w:pPr>
      <w:r>
        <w:rPr>
          <w:rFonts w:hint="eastAsia" w:ascii="宋体" w:hAnsi="宋体"/>
          <w:color w:val="000000"/>
          <w:sz w:val="24"/>
          <w:szCs w:val="24"/>
          <w:lang w:val="en-US" w:eastAsia="zh-CN"/>
        </w:rPr>
        <w:t>32</w:t>
      </w:r>
      <w:r>
        <w:rPr>
          <w:rFonts w:hint="eastAsia" w:ascii="宋体" w:hAnsi="宋体"/>
          <w:color w:val="000000"/>
          <w:sz w:val="24"/>
          <w:szCs w:val="24"/>
        </w:rPr>
        <w:t>.2.1</w:t>
      </w:r>
      <w:r>
        <w:rPr>
          <w:rFonts w:ascii="Times New Roman" w:hAnsi="宋体" w:cs="宋体"/>
          <w:color w:val="000000"/>
          <w:kern w:val="0"/>
          <w:sz w:val="24"/>
          <w:szCs w:val="24"/>
        </w:rPr>
        <w:t>对可以质疑的采购文件提出质疑的，为收到采购文件之日或者采购文件公告期限届满之日；</w:t>
      </w:r>
      <w:r>
        <w:rPr>
          <w:rFonts w:ascii="Times New Roman" w:hAnsi="宋体" w:cs="宋体"/>
          <w:color w:val="000000"/>
          <w:kern w:val="0"/>
          <w:sz w:val="24"/>
          <w:szCs w:val="24"/>
        </w:rPr>
        <w:br w:type="textWrapping"/>
      </w:r>
      <w:r>
        <w:rPr>
          <w:rFonts w:ascii="Times New Roman" w:hAnsi="宋体" w:cs="宋体"/>
          <w:color w:val="000000"/>
          <w:kern w:val="0"/>
          <w:sz w:val="24"/>
          <w:szCs w:val="24"/>
        </w:rPr>
        <w:t>　　</w:t>
      </w:r>
      <w:r>
        <w:rPr>
          <w:rFonts w:hint="eastAsia" w:ascii="宋体" w:hAnsi="宋体"/>
          <w:color w:val="000000"/>
          <w:sz w:val="24"/>
          <w:szCs w:val="24"/>
          <w:lang w:val="en-US" w:eastAsia="zh-CN"/>
        </w:rPr>
        <w:t>32</w:t>
      </w:r>
      <w:r>
        <w:rPr>
          <w:rFonts w:hint="eastAsia" w:ascii="宋体" w:hAnsi="宋体"/>
          <w:color w:val="000000"/>
          <w:sz w:val="24"/>
          <w:szCs w:val="24"/>
        </w:rPr>
        <w:t>.2.2</w:t>
      </w:r>
      <w:r>
        <w:rPr>
          <w:rFonts w:ascii="Times New Roman" w:hAnsi="宋体" w:cs="宋体"/>
          <w:color w:val="000000"/>
          <w:kern w:val="0"/>
          <w:sz w:val="24"/>
          <w:szCs w:val="24"/>
        </w:rPr>
        <w:t>对采购过程提出质疑的，为各采购程序环节结束之日；</w:t>
      </w:r>
      <w:r>
        <w:rPr>
          <w:rFonts w:ascii="Times New Roman" w:hAnsi="宋体" w:cs="宋体"/>
          <w:color w:val="000000"/>
          <w:kern w:val="0"/>
          <w:sz w:val="24"/>
          <w:szCs w:val="24"/>
        </w:rPr>
        <w:br w:type="textWrapping"/>
      </w:r>
      <w:r>
        <w:rPr>
          <w:rFonts w:ascii="Times New Roman" w:hAnsi="宋体" w:cs="宋体"/>
          <w:color w:val="000000"/>
          <w:kern w:val="0"/>
          <w:sz w:val="24"/>
          <w:szCs w:val="24"/>
        </w:rPr>
        <w:t>　　</w:t>
      </w:r>
      <w:r>
        <w:rPr>
          <w:rFonts w:hint="eastAsia" w:ascii="宋体" w:hAnsi="宋体"/>
          <w:color w:val="000000"/>
          <w:sz w:val="24"/>
          <w:szCs w:val="24"/>
          <w:lang w:val="en-US" w:eastAsia="zh-CN"/>
        </w:rPr>
        <w:t>32</w:t>
      </w:r>
      <w:r>
        <w:rPr>
          <w:rFonts w:hint="eastAsia" w:ascii="宋体" w:hAnsi="宋体"/>
          <w:color w:val="000000"/>
          <w:sz w:val="24"/>
          <w:szCs w:val="24"/>
        </w:rPr>
        <w:t>.2.3</w:t>
      </w:r>
      <w:r>
        <w:rPr>
          <w:rFonts w:ascii="Times New Roman" w:hAnsi="宋体" w:cs="宋体"/>
          <w:color w:val="000000"/>
          <w:kern w:val="0"/>
          <w:sz w:val="24"/>
          <w:szCs w:val="24"/>
        </w:rPr>
        <w:t>对中标或者成交结果提出质疑的，为中标或者成交结果公告期限届满之日。</w:t>
      </w:r>
    </w:p>
    <w:p w14:paraId="2CB5D687">
      <w:pPr>
        <w:snapToGrid w:val="0"/>
        <w:spacing w:line="480" w:lineRule="exact"/>
        <w:ind w:firstLine="480" w:firstLineChars="200"/>
        <w:rPr>
          <w:rFonts w:ascii="Times New Roman" w:hAnsi="宋体" w:cs="宋体"/>
          <w:color w:val="000000"/>
          <w:kern w:val="0"/>
          <w:sz w:val="24"/>
          <w:szCs w:val="24"/>
        </w:rPr>
      </w:pPr>
      <w:r>
        <w:rPr>
          <w:rFonts w:hint="eastAsia" w:ascii="Times New Roman" w:hAnsi="宋体" w:cs="宋体"/>
          <w:color w:val="000000"/>
          <w:kern w:val="0"/>
          <w:sz w:val="24"/>
          <w:szCs w:val="24"/>
        </w:rPr>
        <w:t>供应商应当在法定质疑期内一次性提出针对同一采购程序环节的质疑。供应商如在法定期限内对同一采购程序环节提出多次质疑的，独来独往、</w:t>
      </w:r>
      <w:r>
        <w:rPr>
          <w:rFonts w:ascii="Times New Roman" w:hAnsi="宋体" w:cs="宋体"/>
          <w:color w:val="000000"/>
          <w:kern w:val="0"/>
          <w:sz w:val="24"/>
          <w:szCs w:val="24"/>
        </w:rPr>
        <w:t>采购人</w:t>
      </w:r>
      <w:r>
        <w:rPr>
          <w:rFonts w:hint="eastAsia" w:ascii="Times New Roman" w:hAnsi="宋体" w:cs="宋体"/>
          <w:color w:val="000000"/>
          <w:kern w:val="0"/>
          <w:sz w:val="24"/>
          <w:szCs w:val="24"/>
        </w:rPr>
        <w:t>将只对供应商第一次质疑作出答复。</w:t>
      </w:r>
    </w:p>
    <w:p w14:paraId="38D34B29">
      <w:pPr>
        <w:snapToGrid w:val="0"/>
        <w:spacing w:line="480" w:lineRule="exact"/>
        <w:ind w:firstLine="480" w:firstLineChars="200"/>
        <w:rPr>
          <w:rFonts w:ascii="宋体" w:hAnsi="宋体"/>
          <w:color w:val="000000"/>
          <w:sz w:val="24"/>
          <w:szCs w:val="24"/>
        </w:rPr>
      </w:pPr>
      <w:r>
        <w:rPr>
          <w:rFonts w:hint="eastAsia" w:ascii="宋体" w:hAnsi="宋体"/>
          <w:color w:val="000000"/>
          <w:sz w:val="24"/>
          <w:szCs w:val="24"/>
          <w:lang w:val="en-US" w:eastAsia="zh-CN"/>
        </w:rPr>
        <w:t>32</w:t>
      </w:r>
      <w:r>
        <w:rPr>
          <w:rFonts w:hint="eastAsia" w:ascii="宋体" w:hAnsi="宋体"/>
          <w:color w:val="000000"/>
          <w:sz w:val="24"/>
          <w:szCs w:val="24"/>
        </w:rPr>
        <w:t>.3质疑函必须按照本招标文件中《质疑函范本》要求的格式和内容进行填写。供应商如组成联合体参加投标，则《质疑函范本》中要求签字、盖章、加盖公章之处，联合体各方均须按要求签字、盖章、加盖公章。</w:t>
      </w:r>
    </w:p>
    <w:p w14:paraId="37EF1233">
      <w:pPr>
        <w:snapToGrid w:val="0"/>
        <w:spacing w:line="480" w:lineRule="exact"/>
        <w:ind w:firstLine="480" w:firstLineChars="200"/>
        <w:rPr>
          <w:rFonts w:ascii="宋体" w:hAnsi="宋体"/>
          <w:color w:val="000000"/>
          <w:sz w:val="24"/>
          <w:szCs w:val="24"/>
        </w:rPr>
      </w:pPr>
      <w:r>
        <w:rPr>
          <w:rFonts w:hint="eastAsia" w:ascii="宋体" w:hAnsi="宋体"/>
          <w:color w:val="000000"/>
          <w:sz w:val="24"/>
          <w:szCs w:val="24"/>
          <w:lang w:val="en-US" w:eastAsia="zh-CN"/>
        </w:rPr>
        <w:t>32</w:t>
      </w:r>
      <w:r>
        <w:rPr>
          <w:rFonts w:hint="eastAsia" w:ascii="宋体" w:hAnsi="宋体"/>
          <w:color w:val="000000"/>
          <w:sz w:val="24"/>
          <w:szCs w:val="24"/>
        </w:rPr>
        <w:t>.4 供应商（含潜在</w:t>
      </w:r>
      <w:r>
        <w:rPr>
          <w:rFonts w:ascii="宋体" w:hAnsi="宋体"/>
          <w:color w:val="000000"/>
          <w:sz w:val="24"/>
          <w:szCs w:val="24"/>
        </w:rPr>
        <w:t>供应商</w:t>
      </w:r>
      <w:r>
        <w:rPr>
          <w:rFonts w:hint="eastAsia" w:ascii="宋体" w:hAnsi="宋体"/>
          <w:color w:val="000000"/>
          <w:sz w:val="24"/>
          <w:szCs w:val="24"/>
        </w:rPr>
        <w:t>）对与</w:t>
      </w:r>
      <w:r>
        <w:rPr>
          <w:rFonts w:ascii="宋体" w:hAnsi="宋体"/>
          <w:color w:val="000000"/>
          <w:sz w:val="24"/>
          <w:szCs w:val="24"/>
        </w:rPr>
        <w:t>本项目</w:t>
      </w:r>
      <w:r>
        <w:rPr>
          <w:rFonts w:hint="eastAsia" w:ascii="宋体" w:hAnsi="宋体"/>
          <w:color w:val="000000"/>
          <w:sz w:val="24"/>
          <w:szCs w:val="24"/>
        </w:rPr>
        <w:t>有关的</w:t>
      </w:r>
      <w:r>
        <w:rPr>
          <w:rFonts w:ascii="宋体" w:hAnsi="宋体"/>
          <w:color w:val="000000"/>
          <w:sz w:val="24"/>
          <w:szCs w:val="24"/>
        </w:rPr>
        <w:t>所有询问、质疑</w:t>
      </w:r>
      <w:r>
        <w:rPr>
          <w:rFonts w:hint="eastAsia" w:ascii="宋体" w:hAnsi="宋体"/>
          <w:color w:val="000000"/>
          <w:sz w:val="24"/>
          <w:szCs w:val="24"/>
        </w:rPr>
        <w:t>均</w:t>
      </w:r>
      <w:r>
        <w:rPr>
          <w:rFonts w:ascii="宋体" w:hAnsi="宋体"/>
          <w:color w:val="000000"/>
          <w:sz w:val="24"/>
          <w:szCs w:val="24"/>
        </w:rPr>
        <w:t>请向采购人提出，由采购人负责答复。</w:t>
      </w:r>
    </w:p>
    <w:p w14:paraId="1849C9D9">
      <w:pPr>
        <w:snapToGrid w:val="0"/>
        <w:spacing w:line="480" w:lineRule="exact"/>
        <w:ind w:firstLine="480" w:firstLineChars="200"/>
        <w:rPr>
          <w:rFonts w:ascii="宋体" w:hAnsi="宋体"/>
          <w:color w:val="000000"/>
          <w:sz w:val="24"/>
          <w:szCs w:val="24"/>
        </w:rPr>
      </w:pPr>
      <w:r>
        <w:rPr>
          <w:rFonts w:hint="eastAsia" w:ascii="宋体" w:hAnsi="宋体"/>
          <w:color w:val="000000"/>
          <w:sz w:val="24"/>
          <w:szCs w:val="24"/>
        </w:rPr>
        <w:t>采购人及代理单位只接收以纸质原件形式送达的质疑,建议供应商尽量通过邮寄方式提交质疑（采购人和代理单位不接受未填写快递运单的快件）。</w:t>
      </w:r>
    </w:p>
    <w:p w14:paraId="1AB0FD76">
      <w:pPr>
        <w:snapToGrid w:val="0"/>
        <w:spacing w:line="480" w:lineRule="exact"/>
        <w:ind w:firstLine="480" w:firstLineChars="200"/>
        <w:rPr>
          <w:rFonts w:ascii="宋体" w:hAnsi="宋体"/>
          <w:color w:val="000000"/>
          <w:sz w:val="24"/>
          <w:szCs w:val="24"/>
        </w:rPr>
      </w:pPr>
      <w:r>
        <w:rPr>
          <w:rFonts w:hint="eastAsia" w:ascii="宋体" w:hAnsi="宋体"/>
          <w:color w:val="000000"/>
          <w:sz w:val="24"/>
          <w:szCs w:val="24"/>
        </w:rPr>
        <w:t>代理单位质疑接收地址：江苏省淮安市盱眙县金桂大道15号，联系电话：0517-88226767 。</w:t>
      </w:r>
    </w:p>
    <w:p w14:paraId="74EA640A">
      <w:pPr>
        <w:snapToGrid w:val="0"/>
        <w:spacing w:line="480" w:lineRule="exact"/>
        <w:ind w:firstLine="480" w:firstLineChars="200"/>
        <w:rPr>
          <w:rFonts w:ascii="宋体" w:hAnsi="宋体"/>
          <w:color w:val="000000"/>
          <w:sz w:val="24"/>
          <w:szCs w:val="24"/>
        </w:rPr>
      </w:pPr>
      <w:r>
        <w:rPr>
          <w:rFonts w:hint="eastAsia" w:ascii="宋体" w:hAnsi="宋体"/>
          <w:color w:val="000000"/>
          <w:sz w:val="24"/>
          <w:szCs w:val="24"/>
        </w:rPr>
        <w:t>采购人质疑接收人及联系方式见招标文件第一章。</w:t>
      </w:r>
    </w:p>
    <w:p w14:paraId="64882044">
      <w:pPr>
        <w:snapToGrid w:val="0"/>
        <w:spacing w:line="480" w:lineRule="exact"/>
        <w:ind w:firstLine="480" w:firstLineChars="200"/>
        <w:rPr>
          <w:rFonts w:ascii="宋体" w:hAnsi="宋体"/>
          <w:color w:val="000000"/>
          <w:sz w:val="24"/>
          <w:szCs w:val="24"/>
        </w:rPr>
      </w:pPr>
      <w:r>
        <w:rPr>
          <w:rFonts w:hint="eastAsia" w:ascii="宋体" w:hAnsi="宋体"/>
          <w:color w:val="000000"/>
          <w:sz w:val="24"/>
          <w:szCs w:val="24"/>
          <w:lang w:val="en-US" w:eastAsia="zh-CN"/>
        </w:rPr>
        <w:t>32</w:t>
      </w:r>
      <w:r>
        <w:rPr>
          <w:rFonts w:hint="eastAsia" w:ascii="宋体" w:hAnsi="宋体"/>
          <w:color w:val="000000"/>
          <w:sz w:val="24"/>
          <w:szCs w:val="24"/>
        </w:rPr>
        <w:t>.5 以下情形的质疑不予受理</w:t>
      </w:r>
    </w:p>
    <w:p w14:paraId="7F7995CF">
      <w:pPr>
        <w:snapToGrid w:val="0"/>
        <w:spacing w:line="480" w:lineRule="exact"/>
        <w:ind w:firstLine="480" w:firstLineChars="200"/>
        <w:rPr>
          <w:rFonts w:ascii="宋体" w:hAnsi="宋体"/>
          <w:color w:val="000000"/>
          <w:sz w:val="24"/>
          <w:szCs w:val="24"/>
        </w:rPr>
      </w:pPr>
      <w:r>
        <w:rPr>
          <w:rFonts w:hint="eastAsia" w:ascii="宋体" w:hAnsi="宋体"/>
          <w:color w:val="000000"/>
          <w:sz w:val="24"/>
          <w:szCs w:val="24"/>
          <w:lang w:val="en-US" w:eastAsia="zh-CN"/>
        </w:rPr>
        <w:t>32</w:t>
      </w:r>
      <w:r>
        <w:rPr>
          <w:rFonts w:hint="eastAsia" w:ascii="宋体" w:hAnsi="宋体"/>
          <w:color w:val="000000"/>
          <w:sz w:val="24"/>
          <w:szCs w:val="24"/>
        </w:rPr>
        <w:t>.5.1 内容不符合《政府采购质疑和投诉办法》第十二条规定的质疑。</w:t>
      </w:r>
    </w:p>
    <w:p w14:paraId="651CA3D0">
      <w:pPr>
        <w:snapToGrid w:val="0"/>
        <w:spacing w:line="480" w:lineRule="exact"/>
        <w:ind w:firstLine="480" w:firstLineChars="200"/>
        <w:rPr>
          <w:rFonts w:ascii="宋体" w:hAnsi="宋体"/>
          <w:color w:val="000000"/>
          <w:sz w:val="24"/>
          <w:szCs w:val="24"/>
        </w:rPr>
      </w:pPr>
      <w:r>
        <w:rPr>
          <w:rFonts w:hint="eastAsia" w:ascii="宋体" w:hAnsi="宋体"/>
          <w:color w:val="000000"/>
          <w:sz w:val="24"/>
          <w:szCs w:val="24"/>
          <w:lang w:val="en-US" w:eastAsia="zh-CN"/>
        </w:rPr>
        <w:t>32</w:t>
      </w:r>
      <w:r>
        <w:rPr>
          <w:rFonts w:hint="eastAsia" w:ascii="宋体" w:hAnsi="宋体"/>
          <w:color w:val="000000"/>
          <w:sz w:val="24"/>
          <w:szCs w:val="24"/>
        </w:rPr>
        <w:t>.5.2 超出政府采购法定期限的质疑。</w:t>
      </w:r>
    </w:p>
    <w:p w14:paraId="661D48EA">
      <w:pPr>
        <w:snapToGrid w:val="0"/>
        <w:spacing w:line="480" w:lineRule="exact"/>
        <w:ind w:firstLine="480" w:firstLineChars="200"/>
        <w:rPr>
          <w:rFonts w:ascii="宋体" w:hAnsi="宋体"/>
          <w:color w:val="000000"/>
          <w:sz w:val="24"/>
          <w:szCs w:val="24"/>
        </w:rPr>
      </w:pPr>
      <w:r>
        <w:rPr>
          <w:rFonts w:hint="eastAsia" w:ascii="宋体" w:hAnsi="宋体"/>
          <w:color w:val="000000"/>
          <w:sz w:val="24"/>
          <w:szCs w:val="24"/>
          <w:lang w:val="en-US" w:eastAsia="zh-CN"/>
        </w:rPr>
        <w:t>32</w:t>
      </w:r>
      <w:r>
        <w:rPr>
          <w:rFonts w:hint="eastAsia" w:ascii="宋体" w:hAnsi="宋体"/>
          <w:color w:val="000000"/>
          <w:sz w:val="24"/>
          <w:szCs w:val="24"/>
        </w:rPr>
        <w:t>.5.3 以传真、电子邮件等方式递交的非原件形式的质疑。</w:t>
      </w:r>
    </w:p>
    <w:p w14:paraId="77D81FC3">
      <w:pPr>
        <w:snapToGrid w:val="0"/>
        <w:spacing w:line="480" w:lineRule="exact"/>
        <w:ind w:firstLine="480" w:firstLineChars="200"/>
        <w:rPr>
          <w:rFonts w:ascii="宋体" w:hAnsi="宋体"/>
          <w:color w:val="000000"/>
          <w:sz w:val="24"/>
          <w:szCs w:val="24"/>
        </w:rPr>
      </w:pPr>
      <w:r>
        <w:rPr>
          <w:rFonts w:hint="eastAsia" w:ascii="宋体" w:hAnsi="宋体"/>
          <w:color w:val="000000"/>
          <w:sz w:val="24"/>
          <w:szCs w:val="24"/>
          <w:lang w:val="en-US" w:eastAsia="zh-CN"/>
        </w:rPr>
        <w:t>32</w:t>
      </w:r>
      <w:r>
        <w:rPr>
          <w:rFonts w:hint="eastAsia" w:ascii="宋体" w:hAnsi="宋体"/>
          <w:color w:val="000000"/>
          <w:sz w:val="24"/>
          <w:szCs w:val="24"/>
        </w:rPr>
        <w:t>.5.4 未参加投标活动的供应商或在投标活动中自身权益未受到损害的供应商所提出的质疑。</w:t>
      </w:r>
    </w:p>
    <w:p w14:paraId="30897390">
      <w:pPr>
        <w:snapToGrid w:val="0"/>
        <w:spacing w:line="480" w:lineRule="exact"/>
        <w:ind w:firstLine="480" w:firstLineChars="200"/>
        <w:rPr>
          <w:rFonts w:ascii="宋体" w:hAnsi="宋体"/>
          <w:color w:val="000000"/>
          <w:sz w:val="24"/>
          <w:szCs w:val="24"/>
        </w:rPr>
      </w:pPr>
      <w:r>
        <w:rPr>
          <w:rFonts w:hint="eastAsia" w:ascii="宋体" w:hAnsi="宋体"/>
          <w:color w:val="000000"/>
          <w:sz w:val="24"/>
          <w:szCs w:val="24"/>
          <w:lang w:val="en-US" w:eastAsia="zh-CN"/>
        </w:rPr>
        <w:t>32</w:t>
      </w:r>
      <w:r>
        <w:rPr>
          <w:rFonts w:hint="eastAsia" w:ascii="宋体" w:hAnsi="宋体"/>
          <w:color w:val="000000"/>
          <w:sz w:val="24"/>
          <w:szCs w:val="24"/>
        </w:rPr>
        <w:t>.5.5供应商组成联合体参加投标，联合体中任何一方或多方未按要求签字、盖章、加盖公章的质疑。</w:t>
      </w:r>
    </w:p>
    <w:p w14:paraId="070FABCA">
      <w:pPr>
        <w:snapToGrid w:val="0"/>
        <w:spacing w:line="480" w:lineRule="exact"/>
        <w:ind w:firstLine="468" w:firstLineChars="195"/>
        <w:rPr>
          <w:rFonts w:ascii="宋体" w:hAnsi="宋体"/>
          <w:color w:val="000000"/>
          <w:sz w:val="24"/>
          <w:szCs w:val="24"/>
        </w:rPr>
      </w:pPr>
      <w:r>
        <w:rPr>
          <w:rFonts w:hint="eastAsia" w:ascii="宋体" w:hAnsi="宋体"/>
          <w:color w:val="000000"/>
          <w:sz w:val="24"/>
          <w:szCs w:val="24"/>
          <w:lang w:val="en-US" w:eastAsia="zh-CN"/>
        </w:rPr>
        <w:t>32</w:t>
      </w:r>
      <w:r>
        <w:rPr>
          <w:rFonts w:hint="eastAsia" w:ascii="宋体" w:hAnsi="宋体"/>
          <w:color w:val="000000"/>
          <w:sz w:val="24"/>
          <w:szCs w:val="24"/>
        </w:rPr>
        <w:t>.6  供应商提出书面质疑必须有理、有据，不得捏造事实、提供虚假材料进行恶意质疑。否则，一经查实，采购人或代理机构有权依据政府采购的有关规定，报请政府采购监管部门对该供应商进行相应的行政处罚和记录该供应商的失信信息。</w:t>
      </w:r>
    </w:p>
    <w:p w14:paraId="51D17EC9">
      <w:pPr>
        <w:jc w:val="center"/>
        <w:rPr>
          <w:rFonts w:ascii="宋体" w:hAnsi="宋体" w:cs="宋体"/>
          <w:b/>
          <w:sz w:val="36"/>
          <w:szCs w:val="36"/>
          <w:highlight w:val="red"/>
        </w:rPr>
      </w:pPr>
    </w:p>
    <w:p w14:paraId="50E28211">
      <w:pPr>
        <w:jc w:val="center"/>
        <w:rPr>
          <w:rFonts w:ascii="宋体" w:hAnsi="宋体" w:cs="宋体"/>
          <w:b/>
          <w:sz w:val="36"/>
          <w:szCs w:val="36"/>
          <w:highlight w:val="red"/>
        </w:rPr>
      </w:pPr>
    </w:p>
    <w:p w14:paraId="27677E17">
      <w:pPr>
        <w:jc w:val="center"/>
        <w:rPr>
          <w:rFonts w:ascii="宋体" w:hAnsi="宋体" w:cs="宋体"/>
          <w:b/>
          <w:sz w:val="36"/>
          <w:szCs w:val="36"/>
          <w:highlight w:val="red"/>
        </w:rPr>
      </w:pPr>
    </w:p>
    <w:p w14:paraId="2EDEE4F0">
      <w:pPr>
        <w:jc w:val="center"/>
        <w:rPr>
          <w:rFonts w:ascii="宋体" w:hAnsi="宋体" w:cs="宋体"/>
          <w:b/>
          <w:sz w:val="36"/>
          <w:szCs w:val="36"/>
          <w:highlight w:val="red"/>
        </w:rPr>
      </w:pPr>
    </w:p>
    <w:p w14:paraId="111012A6">
      <w:pPr>
        <w:jc w:val="center"/>
        <w:rPr>
          <w:rFonts w:ascii="宋体" w:hAnsi="宋体" w:cs="宋体"/>
          <w:b/>
          <w:sz w:val="36"/>
          <w:szCs w:val="36"/>
          <w:highlight w:val="red"/>
        </w:rPr>
      </w:pPr>
    </w:p>
    <w:p w14:paraId="0BFCAFC7">
      <w:pPr>
        <w:jc w:val="center"/>
        <w:rPr>
          <w:rFonts w:ascii="宋体" w:hAnsi="宋体" w:cs="宋体"/>
          <w:b/>
          <w:sz w:val="36"/>
          <w:szCs w:val="36"/>
          <w:highlight w:val="red"/>
        </w:rPr>
      </w:pPr>
    </w:p>
    <w:p w14:paraId="77F0231B">
      <w:pPr>
        <w:jc w:val="center"/>
        <w:rPr>
          <w:rFonts w:ascii="宋体" w:hAnsi="宋体" w:cs="宋体"/>
          <w:b/>
          <w:sz w:val="36"/>
          <w:szCs w:val="36"/>
          <w:highlight w:val="red"/>
        </w:rPr>
      </w:pPr>
    </w:p>
    <w:p w14:paraId="527FBD64">
      <w:pPr>
        <w:jc w:val="center"/>
        <w:rPr>
          <w:rFonts w:ascii="宋体" w:hAnsi="宋体" w:cs="宋体"/>
          <w:b/>
          <w:sz w:val="36"/>
          <w:szCs w:val="36"/>
        </w:rPr>
      </w:pPr>
      <w:r>
        <w:rPr>
          <w:rFonts w:hint="eastAsia" w:ascii="宋体" w:hAnsi="宋体" w:cs="宋体"/>
          <w:b/>
          <w:sz w:val="36"/>
          <w:szCs w:val="36"/>
        </w:rPr>
        <w:t>第三篇：采购需求</w:t>
      </w:r>
    </w:p>
    <w:p w14:paraId="09918577">
      <w:pPr>
        <w:pStyle w:val="3"/>
        <w:numPr>
          <w:ilvl w:val="0"/>
          <w:numId w:val="0"/>
        </w:numPr>
      </w:pPr>
      <w:r>
        <w:rPr>
          <w:rFonts w:hint="eastAsia"/>
        </w:rPr>
        <w:t>采购内容</w:t>
      </w:r>
    </w:p>
    <w:p w14:paraId="1CD91725">
      <w:pPr>
        <w:pStyle w:val="43"/>
        <w:spacing w:after="240"/>
        <w:jc w:val="left"/>
        <w:rPr>
          <w:rFonts w:hint="eastAsia" w:ascii="仿宋" w:hAnsi="仿宋" w:eastAsia="仿宋" w:cs="宋体"/>
          <w:b w:val="0"/>
          <w:sz w:val="24"/>
        </w:rPr>
      </w:pPr>
      <w:r>
        <w:rPr>
          <w:rFonts w:hint="eastAsia" w:ascii="仿宋" w:hAnsi="仿宋" w:eastAsia="仿宋" w:cs="宋体"/>
          <w:b w:val="0"/>
          <w:sz w:val="24"/>
          <w:lang w:val="en-US" w:eastAsia="zh-CN"/>
        </w:rPr>
        <w:t>1.</w:t>
      </w:r>
      <w:r>
        <w:rPr>
          <w:rFonts w:hint="eastAsia" w:ascii="仿宋" w:hAnsi="仿宋" w:eastAsia="仿宋" w:cs="宋体"/>
          <w:b w:val="0"/>
          <w:sz w:val="24"/>
        </w:rPr>
        <w:t>我行业务涉及的不动产抵押及其他抵质押评估工作</w:t>
      </w:r>
      <w:r>
        <w:rPr>
          <w:rFonts w:hint="eastAsia" w:ascii="仿宋" w:hAnsi="仿宋" w:eastAsia="仿宋" w:cs="宋体"/>
          <w:b w:val="0"/>
          <w:sz w:val="24"/>
          <w:lang w:eastAsia="zh-CN"/>
        </w:rPr>
        <w:t>（</w:t>
      </w:r>
      <w:r>
        <w:rPr>
          <w:rFonts w:hint="eastAsia" w:ascii="仿宋" w:hAnsi="仿宋" w:eastAsia="仿宋" w:cs="宋体"/>
          <w:b w:val="0"/>
          <w:sz w:val="24"/>
          <w:lang w:val="en-US" w:eastAsia="zh-CN"/>
        </w:rPr>
        <w:t>不限于以下内容：房产、不动产、动产、资产等</w:t>
      </w:r>
      <w:r>
        <w:rPr>
          <w:rFonts w:hint="eastAsia" w:ascii="仿宋" w:hAnsi="仿宋" w:eastAsia="仿宋" w:cs="宋体"/>
          <w:b w:val="0"/>
          <w:sz w:val="24"/>
          <w:lang w:eastAsia="zh-CN"/>
        </w:rPr>
        <w:t>）</w:t>
      </w:r>
      <w:r>
        <w:rPr>
          <w:rFonts w:hint="eastAsia" w:ascii="仿宋" w:hAnsi="仿宋" w:eastAsia="仿宋" w:cs="宋体"/>
          <w:b w:val="0"/>
          <w:sz w:val="24"/>
        </w:rPr>
        <w:t>，本次采购计划选定两家评估机构作为中标单位，共同承担评估业务。</w:t>
      </w:r>
    </w:p>
    <w:p w14:paraId="35439F01">
      <w:pPr>
        <w:pStyle w:val="43"/>
        <w:spacing w:after="240"/>
        <w:jc w:val="left"/>
        <w:rPr>
          <w:rFonts w:hint="eastAsia" w:ascii="仿宋" w:hAnsi="仿宋" w:eastAsia="仿宋" w:cs="宋体"/>
          <w:b w:val="0"/>
          <w:sz w:val="24"/>
          <w:highlight w:val="none"/>
          <w:lang w:val="en-US" w:eastAsia="zh-CN"/>
        </w:rPr>
      </w:pPr>
      <w:r>
        <w:rPr>
          <w:rFonts w:hint="eastAsia" w:ascii="仿宋" w:hAnsi="仿宋" w:eastAsia="仿宋" w:cs="宋体"/>
          <w:b w:val="0"/>
          <w:sz w:val="24"/>
          <w:highlight w:val="none"/>
          <w:lang w:val="en-US" w:eastAsia="zh-CN"/>
        </w:rPr>
        <w:t>2.提供不动产抵押及其他抵质押评估评估体系的公式和标准。评估过程应符合国家及行业相关法律法规、准则及技术规范。评估结果应具备客观性、公正性、可复核性。</w:t>
      </w:r>
    </w:p>
    <w:p w14:paraId="029B008C">
      <w:pPr>
        <w:pStyle w:val="43"/>
        <w:spacing w:after="240"/>
        <w:jc w:val="left"/>
        <w:rPr>
          <w:rFonts w:hint="eastAsia" w:ascii="仿宋" w:hAnsi="仿宋" w:eastAsia="仿宋" w:cs="宋体"/>
          <w:b w:val="0"/>
          <w:sz w:val="24"/>
          <w:highlight w:val="none"/>
          <w:lang w:val="en-US" w:eastAsia="zh-CN"/>
        </w:rPr>
      </w:pPr>
      <w:r>
        <w:rPr>
          <w:rFonts w:hint="eastAsia" w:ascii="仿宋" w:hAnsi="仿宋" w:eastAsia="仿宋" w:cs="宋体"/>
          <w:b w:val="0"/>
          <w:sz w:val="24"/>
          <w:highlight w:val="none"/>
          <w:lang w:val="en-US" w:eastAsia="zh-CN"/>
        </w:rPr>
        <w:t>3.明确各类评估业务的标准服务周期，若因中标人原因导致评估报告延迟交付，将根据延迟情况按约定比例扣减相应服务费用；评估报告质量须符合我行要求，如出现重大错漏、偏离市场价值等情况，我行有权要求重评或扣减费用。</w:t>
      </w:r>
    </w:p>
    <w:p w14:paraId="6FB5F3C0">
      <w:pPr>
        <w:pStyle w:val="43"/>
        <w:spacing w:after="240"/>
        <w:jc w:val="left"/>
        <w:rPr>
          <w:rFonts w:hint="eastAsia" w:ascii="仿宋" w:hAnsi="仿宋" w:eastAsia="仿宋" w:cs="宋体"/>
          <w:b w:val="0"/>
          <w:sz w:val="24"/>
          <w:highlight w:val="none"/>
          <w:lang w:val="en-US" w:eastAsia="zh-CN"/>
        </w:rPr>
      </w:pPr>
      <w:r>
        <w:rPr>
          <w:rFonts w:hint="eastAsia" w:ascii="仿宋" w:hAnsi="仿宋" w:eastAsia="仿宋" w:cs="宋体"/>
          <w:b w:val="0"/>
          <w:sz w:val="24"/>
          <w:highlight w:val="none"/>
          <w:lang w:val="en-US" w:eastAsia="zh-CN"/>
        </w:rPr>
        <w:t>4.我行保留根据服务质效、合作情况等因素，不定期对入围评估机构进行调整的权利；如发现评估机构存在向客户收取额外费用、弄虚作假、违反职业道德等行为，一经核实，立即取消其入围资格，并追究相应责任。</w:t>
      </w:r>
    </w:p>
    <w:p w14:paraId="5BC3BEEA">
      <w:pPr>
        <w:pStyle w:val="43"/>
        <w:spacing w:after="240"/>
        <w:jc w:val="left"/>
        <w:rPr>
          <w:rFonts w:hint="eastAsia" w:ascii="仿宋" w:hAnsi="仿宋" w:eastAsia="仿宋" w:cs="宋体"/>
          <w:b w:val="0"/>
          <w:sz w:val="24"/>
          <w:highlight w:val="none"/>
          <w:lang w:val="en-US" w:eastAsia="zh-CN"/>
        </w:rPr>
      </w:pPr>
      <w:r>
        <w:rPr>
          <w:rFonts w:hint="eastAsia" w:ascii="仿宋" w:hAnsi="仿宋" w:eastAsia="仿宋" w:cs="宋体"/>
          <w:b w:val="0"/>
          <w:sz w:val="24"/>
          <w:highlight w:val="none"/>
          <w:lang w:val="en-US" w:eastAsia="zh-CN"/>
        </w:rPr>
        <w:t>5.评估业务量不固定（或多或少或有或无），我行将根据实际业务发生情况动态分配具体评估项目。</w:t>
      </w:r>
    </w:p>
    <w:p w14:paraId="0081DDB5">
      <w:pPr>
        <w:pStyle w:val="43"/>
        <w:spacing w:after="240"/>
        <w:jc w:val="left"/>
        <w:rPr>
          <w:rFonts w:hint="eastAsia" w:ascii="仿宋" w:hAnsi="仿宋" w:eastAsia="仿宋" w:cs="宋体"/>
          <w:b w:val="0"/>
          <w:sz w:val="24"/>
          <w:highlight w:val="none"/>
          <w:lang w:val="en-US" w:eastAsia="zh-CN"/>
        </w:rPr>
      </w:pPr>
      <w:r>
        <w:rPr>
          <w:rFonts w:hint="eastAsia" w:ascii="仿宋" w:hAnsi="仿宋" w:eastAsia="仿宋" w:cs="宋体"/>
          <w:b w:val="0"/>
          <w:sz w:val="24"/>
          <w:highlight w:val="none"/>
          <w:lang w:val="en-US" w:eastAsia="zh-CN"/>
        </w:rPr>
        <w:t>6.具体项目的分配由我行根据评估机构专业领域、服务能力、响应速度、地域覆盖等因素进行业务分配。</w:t>
      </w:r>
    </w:p>
    <w:p w14:paraId="2EA8C551">
      <w:pPr>
        <w:pStyle w:val="43"/>
        <w:spacing w:after="240"/>
        <w:jc w:val="left"/>
        <w:rPr>
          <w:rFonts w:ascii="宋体"/>
          <w:sz w:val="24"/>
          <w:highlight w:val="none"/>
        </w:rPr>
      </w:pPr>
      <w:r>
        <w:rPr>
          <w:rFonts w:hint="eastAsia" w:ascii="仿宋" w:hAnsi="仿宋" w:eastAsia="仿宋" w:cs="宋体"/>
          <w:b w:val="0"/>
          <w:sz w:val="24"/>
          <w:highlight w:val="none"/>
          <w:lang w:val="en-US" w:eastAsia="zh-CN"/>
        </w:rPr>
        <w:t>7.文件的最终解释权归采购人，当对一个问题有多种解释时以采购人的书面解释为准。竞争性磋商文件未做须知明示，而又有相关法律、法规规定的，采购人对此所做解释以相关的法律、法规规定为依据。</w:t>
      </w:r>
    </w:p>
    <w:p w14:paraId="1BA686A0">
      <w:pPr>
        <w:spacing w:line="440" w:lineRule="exact"/>
        <w:jc w:val="center"/>
        <w:rPr>
          <w:rFonts w:ascii="宋体" w:hAnsi="宋体"/>
          <w:b/>
          <w:sz w:val="32"/>
          <w:szCs w:val="32"/>
        </w:rPr>
      </w:pPr>
    </w:p>
    <w:p w14:paraId="5E876591">
      <w:pPr>
        <w:spacing w:line="440" w:lineRule="exact"/>
        <w:jc w:val="center"/>
        <w:rPr>
          <w:rFonts w:ascii="宋体" w:hAnsi="宋体"/>
          <w:b/>
          <w:sz w:val="32"/>
          <w:szCs w:val="32"/>
        </w:rPr>
      </w:pPr>
    </w:p>
    <w:p w14:paraId="0B50436C">
      <w:pPr>
        <w:spacing w:line="440" w:lineRule="exact"/>
        <w:jc w:val="center"/>
        <w:rPr>
          <w:rFonts w:ascii="宋体" w:hAnsi="宋体"/>
          <w:b/>
          <w:sz w:val="32"/>
          <w:szCs w:val="32"/>
        </w:rPr>
      </w:pPr>
    </w:p>
    <w:p w14:paraId="7AB6408B">
      <w:pPr>
        <w:spacing w:line="440" w:lineRule="exact"/>
        <w:jc w:val="center"/>
        <w:rPr>
          <w:rFonts w:ascii="宋体" w:hAnsi="宋体"/>
          <w:b/>
          <w:sz w:val="32"/>
          <w:szCs w:val="32"/>
        </w:rPr>
      </w:pPr>
    </w:p>
    <w:p w14:paraId="728846DA">
      <w:pPr>
        <w:spacing w:line="440" w:lineRule="exact"/>
        <w:jc w:val="center"/>
        <w:rPr>
          <w:rFonts w:ascii="宋体" w:hAnsi="宋体"/>
          <w:b/>
          <w:sz w:val="32"/>
          <w:szCs w:val="32"/>
        </w:rPr>
      </w:pPr>
    </w:p>
    <w:p w14:paraId="52450921">
      <w:pPr>
        <w:spacing w:line="440" w:lineRule="exact"/>
        <w:jc w:val="center"/>
        <w:rPr>
          <w:rFonts w:ascii="宋体" w:hAnsi="宋体"/>
          <w:b/>
          <w:sz w:val="32"/>
          <w:szCs w:val="32"/>
        </w:rPr>
      </w:pPr>
    </w:p>
    <w:p w14:paraId="42E8BA1A">
      <w:pPr>
        <w:spacing w:line="440" w:lineRule="exact"/>
        <w:jc w:val="center"/>
        <w:rPr>
          <w:rFonts w:ascii="宋体" w:hAnsi="宋体"/>
          <w:b/>
          <w:sz w:val="32"/>
          <w:szCs w:val="32"/>
        </w:rPr>
      </w:pPr>
    </w:p>
    <w:p w14:paraId="5498C149">
      <w:pPr>
        <w:spacing w:line="440" w:lineRule="exact"/>
        <w:jc w:val="center"/>
        <w:rPr>
          <w:rFonts w:hint="eastAsia" w:ascii="宋体" w:hAnsi="宋体" w:cs="宋体"/>
          <w:b/>
          <w:sz w:val="32"/>
        </w:rPr>
      </w:pPr>
      <w:r>
        <w:rPr>
          <w:rFonts w:hint="eastAsia" w:ascii="宋体" w:hAnsi="宋体" w:cs="宋体"/>
          <w:b/>
          <w:sz w:val="32"/>
        </w:rPr>
        <w:t>第四章  合同格式及条款</w:t>
      </w:r>
    </w:p>
    <w:p w14:paraId="1E3B3C2B">
      <w:pPr>
        <w:keepNext w:val="0"/>
        <w:keepLines w:val="0"/>
        <w:pageBreakBefore w:val="0"/>
        <w:tabs>
          <w:tab w:val="left" w:pos="180"/>
        </w:tabs>
        <w:spacing w:line="520" w:lineRule="exact"/>
        <w:ind w:firstLine="560"/>
        <w:outlineLvl w:val="9"/>
        <w:rPr>
          <w:rFonts w:hint="eastAsia" w:ascii="仿宋" w:hAnsi="仿宋" w:eastAsia="仿宋"/>
          <w:sz w:val="32"/>
        </w:rPr>
      </w:pPr>
      <w:r>
        <w:rPr>
          <w:rFonts w:hint="eastAsia" w:ascii="仿宋" w:hAnsi="仿宋" w:eastAsia="仿宋"/>
          <w:bCs/>
          <w:sz w:val="28"/>
          <w:szCs w:val="28"/>
        </w:rPr>
        <w:t>注:以下为采购人提出中标后签订本项目合同的条款，投标人必须实质性响应，中标投标人不得提出实质性的修改，关于专用条款将由采购人与中标投标人结合本项目具体情况协商后签订。</w:t>
      </w:r>
    </w:p>
    <w:p w14:paraId="433C333E">
      <w:pPr>
        <w:pStyle w:val="298"/>
        <w:spacing w:line="520" w:lineRule="exact"/>
        <w:ind w:firstLine="3066"/>
        <w:rPr>
          <w:rFonts w:hint="eastAsia" w:ascii="仿宋" w:hAnsi="仿宋" w:eastAsia="仿宋"/>
          <w:sz w:val="28"/>
          <w:szCs w:val="28"/>
        </w:rPr>
      </w:pPr>
    </w:p>
    <w:p w14:paraId="0501FDA9">
      <w:pPr>
        <w:pStyle w:val="298"/>
        <w:spacing w:line="360" w:lineRule="auto"/>
        <w:jc w:val="center"/>
        <w:rPr>
          <w:rFonts w:hint="eastAsia" w:hAnsi="宋体" w:cs="宋体"/>
          <w:bCs/>
          <w:sz w:val="44"/>
          <w:szCs w:val="44"/>
        </w:rPr>
      </w:pPr>
      <w:r>
        <w:rPr>
          <w:rFonts w:hint="eastAsia" w:hAnsi="宋体" w:cs="宋体"/>
          <w:bCs/>
          <w:sz w:val="44"/>
          <w:szCs w:val="44"/>
        </w:rPr>
        <w:t>总 合 同 书</w:t>
      </w:r>
    </w:p>
    <w:p w14:paraId="0E1183E5">
      <w:pPr>
        <w:pStyle w:val="298"/>
        <w:spacing w:line="360" w:lineRule="auto"/>
        <w:jc w:val="center"/>
        <w:rPr>
          <w:rFonts w:hint="eastAsia" w:hAnsi="宋体" w:cs="宋体"/>
          <w:bCs/>
          <w:sz w:val="32"/>
          <w:szCs w:val="32"/>
        </w:rPr>
      </w:pPr>
    </w:p>
    <w:p w14:paraId="260FDBBD">
      <w:pPr>
        <w:tabs>
          <w:tab w:val="left" w:pos="540"/>
          <w:tab w:val="left" w:pos="1080"/>
          <w:tab w:val="left" w:pos="1440"/>
        </w:tabs>
        <w:spacing w:line="360" w:lineRule="auto"/>
        <w:rPr>
          <w:rFonts w:hint="eastAsia" w:ascii="宋体" w:hAnsi="宋体" w:cs="宋体"/>
          <w:sz w:val="32"/>
          <w:szCs w:val="32"/>
        </w:rPr>
      </w:pPr>
    </w:p>
    <w:p w14:paraId="1F2078A2">
      <w:pPr>
        <w:tabs>
          <w:tab w:val="left" w:pos="540"/>
          <w:tab w:val="left" w:pos="1080"/>
          <w:tab w:val="left" w:pos="1440"/>
        </w:tabs>
        <w:spacing w:line="360" w:lineRule="auto"/>
        <w:ind w:left="1680"/>
        <w:jc w:val="center"/>
        <w:rPr>
          <w:rFonts w:hint="eastAsia" w:ascii="宋体" w:hAnsi="宋体" w:cs="宋体"/>
          <w:sz w:val="32"/>
          <w:szCs w:val="32"/>
        </w:rPr>
      </w:pPr>
    </w:p>
    <w:p w14:paraId="456FA704">
      <w:pPr>
        <w:keepNext w:val="0"/>
        <w:keepLines w:val="0"/>
        <w:pageBreakBefore w:val="0"/>
        <w:widowControl w:val="0"/>
        <w:kinsoku/>
        <w:wordWrap/>
        <w:overflowPunct/>
        <w:topLinePunct w:val="0"/>
        <w:autoSpaceDE/>
        <w:autoSpaceDN/>
        <w:bidi w:val="0"/>
        <w:adjustRightInd/>
        <w:spacing w:line="480" w:lineRule="auto"/>
        <w:ind w:firstLine="560" w:firstLineChars="200"/>
        <w:jc w:val="left"/>
        <w:textAlignment w:val="auto"/>
        <w:rPr>
          <w:rFonts w:hint="default" w:ascii="仿宋" w:hAnsi="仿宋" w:eastAsia="仿宋" w:cs="仿宋"/>
          <w:bCs/>
          <w:sz w:val="28"/>
          <w:szCs w:val="28"/>
          <w:u w:val="single"/>
          <w:lang w:val="en-US" w:eastAsia="zh-CN"/>
        </w:rPr>
      </w:pPr>
      <w:r>
        <w:rPr>
          <w:rFonts w:hint="eastAsia" w:ascii="仿宋" w:hAnsi="仿宋" w:eastAsia="仿宋" w:cs="仿宋"/>
          <w:bCs/>
          <w:sz w:val="28"/>
          <w:szCs w:val="28"/>
        </w:rPr>
        <w:t>项目名称：</w:t>
      </w:r>
      <w:r>
        <w:rPr>
          <w:rFonts w:hint="eastAsia" w:ascii="仿宋" w:hAnsi="仿宋" w:eastAsia="仿宋" w:cs="仿宋"/>
          <w:bCs/>
          <w:sz w:val="28"/>
          <w:szCs w:val="28"/>
          <w:u w:val="single"/>
        </w:rPr>
        <w:t>江苏盱眙农村商业银行不动产抵押及其他抵质押</w:t>
      </w:r>
      <w:r>
        <w:rPr>
          <w:rFonts w:hint="eastAsia" w:ascii="仿宋" w:hAnsi="仿宋" w:eastAsia="仿宋" w:cs="仿宋"/>
          <w:bCs/>
          <w:sz w:val="28"/>
          <w:szCs w:val="28"/>
          <w:u w:val="single"/>
          <w:lang w:val="en-US" w:eastAsia="zh-CN"/>
        </w:rPr>
        <w:t>交易价格</w:t>
      </w:r>
      <w:r>
        <w:rPr>
          <w:rFonts w:hint="eastAsia" w:ascii="仿宋" w:hAnsi="仿宋" w:eastAsia="仿宋" w:cs="仿宋"/>
          <w:bCs/>
          <w:sz w:val="28"/>
          <w:szCs w:val="28"/>
          <w:u w:val="single"/>
        </w:rPr>
        <w:t>评估</w:t>
      </w:r>
      <w:r>
        <w:rPr>
          <w:rFonts w:hint="eastAsia" w:ascii="仿宋" w:hAnsi="仿宋" w:eastAsia="仿宋" w:cs="仿宋"/>
          <w:bCs/>
          <w:sz w:val="28"/>
          <w:szCs w:val="28"/>
          <w:u w:val="single"/>
          <w:lang w:val="en-US" w:eastAsia="zh-CN"/>
        </w:rPr>
        <w:t>服务项目</w:t>
      </w:r>
    </w:p>
    <w:p w14:paraId="4CF3791A">
      <w:pPr>
        <w:tabs>
          <w:tab w:val="left" w:pos="2160"/>
        </w:tabs>
        <w:spacing w:line="360" w:lineRule="auto"/>
        <w:ind w:firstLine="560"/>
        <w:rPr>
          <w:rFonts w:hint="eastAsia" w:ascii="仿宋" w:hAnsi="仿宋" w:eastAsia="仿宋" w:cs="仿宋"/>
          <w:bCs/>
          <w:sz w:val="28"/>
          <w:szCs w:val="28"/>
        </w:rPr>
      </w:pPr>
      <w:r>
        <w:rPr>
          <w:rFonts w:hint="eastAsia" w:ascii="仿宋" w:hAnsi="仿宋" w:eastAsia="仿宋" w:cs="仿宋"/>
          <w:bCs/>
          <w:sz w:val="28"/>
          <w:szCs w:val="28"/>
        </w:rPr>
        <w:t xml:space="preserve">包    号： </w:t>
      </w:r>
      <w:r>
        <w:rPr>
          <w:rFonts w:hint="eastAsia" w:ascii="仿宋" w:hAnsi="仿宋" w:eastAsia="仿宋" w:cs="仿宋"/>
          <w:bCs/>
          <w:sz w:val="28"/>
          <w:szCs w:val="28"/>
          <w:u w:val="single"/>
        </w:rPr>
        <w:t xml:space="preserve">                           </w:t>
      </w:r>
    </w:p>
    <w:p w14:paraId="1EFF78AB">
      <w:pPr>
        <w:tabs>
          <w:tab w:val="left" w:pos="540"/>
          <w:tab w:val="left" w:pos="1080"/>
          <w:tab w:val="left" w:pos="1440"/>
        </w:tabs>
        <w:spacing w:line="360" w:lineRule="auto"/>
        <w:ind w:firstLine="560"/>
        <w:rPr>
          <w:rFonts w:hint="eastAsia" w:ascii="仿宋" w:hAnsi="仿宋" w:eastAsia="仿宋" w:cs="仿宋"/>
          <w:bCs/>
          <w:sz w:val="28"/>
          <w:szCs w:val="28"/>
          <w:u w:val="single"/>
        </w:rPr>
      </w:pPr>
      <w:r>
        <w:rPr>
          <w:rFonts w:hint="eastAsia" w:ascii="仿宋" w:hAnsi="仿宋" w:eastAsia="仿宋" w:cs="仿宋"/>
          <w:bCs/>
          <w:sz w:val="28"/>
          <w:szCs w:val="28"/>
        </w:rPr>
        <w:t xml:space="preserve">合同编号： </w:t>
      </w:r>
      <w:r>
        <w:rPr>
          <w:rFonts w:hint="eastAsia" w:ascii="仿宋" w:hAnsi="仿宋" w:eastAsia="仿宋" w:cs="仿宋"/>
          <w:bCs/>
          <w:sz w:val="28"/>
          <w:szCs w:val="28"/>
          <w:u w:val="single"/>
        </w:rPr>
        <w:t xml:space="preserve">                           </w:t>
      </w:r>
    </w:p>
    <w:p w14:paraId="7A367BCB">
      <w:pPr>
        <w:pStyle w:val="298"/>
        <w:spacing w:line="360" w:lineRule="auto"/>
        <w:ind w:firstLine="980"/>
        <w:jc w:val="center"/>
        <w:rPr>
          <w:rFonts w:hint="eastAsia" w:ascii="仿宋" w:hAnsi="仿宋" w:eastAsia="仿宋" w:cs="仿宋"/>
          <w:bCs/>
          <w:sz w:val="28"/>
          <w:szCs w:val="28"/>
        </w:rPr>
      </w:pPr>
    </w:p>
    <w:p w14:paraId="532723C1">
      <w:pPr>
        <w:pStyle w:val="298"/>
        <w:spacing w:line="360" w:lineRule="auto"/>
        <w:ind w:firstLine="980"/>
        <w:jc w:val="center"/>
        <w:rPr>
          <w:rFonts w:hint="eastAsia" w:ascii="仿宋" w:hAnsi="仿宋" w:eastAsia="仿宋" w:cs="仿宋"/>
          <w:bCs/>
          <w:sz w:val="28"/>
          <w:szCs w:val="28"/>
        </w:rPr>
      </w:pPr>
    </w:p>
    <w:p w14:paraId="667777B3">
      <w:pPr>
        <w:pStyle w:val="298"/>
        <w:tabs>
          <w:tab w:val="left" w:pos="3045"/>
        </w:tabs>
        <w:spacing w:line="360" w:lineRule="auto"/>
        <w:ind w:firstLine="980"/>
        <w:jc w:val="center"/>
        <w:rPr>
          <w:rFonts w:hint="eastAsia" w:ascii="仿宋" w:hAnsi="仿宋" w:eastAsia="仿宋" w:cs="仿宋"/>
          <w:bCs/>
          <w:sz w:val="28"/>
          <w:szCs w:val="28"/>
        </w:rPr>
      </w:pPr>
    </w:p>
    <w:p w14:paraId="2BC80115">
      <w:pPr>
        <w:pStyle w:val="298"/>
        <w:spacing w:line="360" w:lineRule="auto"/>
        <w:ind w:firstLine="980"/>
        <w:rPr>
          <w:rFonts w:hint="eastAsia" w:ascii="仿宋" w:hAnsi="仿宋" w:eastAsia="仿宋" w:cs="仿宋"/>
          <w:bCs/>
          <w:sz w:val="28"/>
          <w:szCs w:val="28"/>
        </w:rPr>
      </w:pPr>
    </w:p>
    <w:p w14:paraId="13CF738F">
      <w:pPr>
        <w:spacing w:line="360" w:lineRule="auto"/>
        <w:ind w:firstLine="980"/>
        <w:rPr>
          <w:rFonts w:hint="eastAsia" w:ascii="仿宋" w:hAnsi="仿宋" w:eastAsia="仿宋" w:cs="仿宋"/>
          <w:bCs/>
          <w:sz w:val="28"/>
          <w:szCs w:val="28"/>
          <w:u w:val="single"/>
          <w:lang w:eastAsia="zh-CN"/>
        </w:rPr>
      </w:pPr>
      <w:r>
        <w:rPr>
          <w:rFonts w:hint="eastAsia" w:ascii="仿宋" w:hAnsi="仿宋" w:eastAsia="仿宋" w:cs="仿宋"/>
          <w:bCs/>
          <w:sz w:val="28"/>
          <w:szCs w:val="28"/>
        </w:rPr>
        <w:t>甲    方：</w:t>
      </w:r>
      <w:r>
        <w:rPr>
          <w:rFonts w:hint="eastAsia" w:ascii="仿宋" w:hAnsi="仿宋" w:eastAsia="仿宋" w:cs="仿宋"/>
          <w:bCs/>
          <w:sz w:val="28"/>
          <w:szCs w:val="28"/>
          <w:u w:val="single"/>
          <w:lang w:eastAsia="zh-CN"/>
        </w:rPr>
        <w:t>江苏盱眙农村商业银行股份有限公司</w:t>
      </w:r>
    </w:p>
    <w:p w14:paraId="769868B1">
      <w:pPr>
        <w:spacing w:line="360" w:lineRule="auto"/>
        <w:ind w:firstLine="980"/>
        <w:rPr>
          <w:rFonts w:hint="eastAsia" w:ascii="仿宋" w:hAnsi="仿宋" w:eastAsia="仿宋" w:cs="仿宋"/>
          <w:bCs/>
          <w:sz w:val="28"/>
          <w:szCs w:val="28"/>
          <w:u w:val="single"/>
        </w:rPr>
      </w:pPr>
      <w:r>
        <w:rPr>
          <w:rFonts w:hint="eastAsia" w:ascii="仿宋" w:hAnsi="仿宋" w:eastAsia="仿宋" w:cs="仿宋"/>
          <w:bCs/>
          <w:sz w:val="28"/>
          <w:szCs w:val="28"/>
        </w:rPr>
        <w:t xml:space="preserve">乙    方： </w:t>
      </w:r>
      <w:r>
        <w:rPr>
          <w:rFonts w:hint="eastAsia" w:ascii="仿宋" w:hAnsi="仿宋" w:eastAsia="仿宋" w:cs="仿宋"/>
          <w:bCs/>
          <w:sz w:val="28"/>
          <w:szCs w:val="28"/>
          <w:u w:val="single"/>
        </w:rPr>
        <w:t xml:space="preserve">                     </w:t>
      </w:r>
    </w:p>
    <w:p w14:paraId="6FCD1B99">
      <w:pPr>
        <w:spacing w:line="360" w:lineRule="auto"/>
        <w:ind w:firstLine="980"/>
        <w:rPr>
          <w:rFonts w:hint="eastAsia" w:ascii="仿宋" w:hAnsi="仿宋" w:eastAsia="仿宋" w:cs="仿宋"/>
          <w:bCs/>
          <w:sz w:val="28"/>
          <w:szCs w:val="28"/>
          <w:u w:val="single"/>
        </w:rPr>
      </w:pPr>
      <w:r>
        <w:rPr>
          <w:rFonts w:hint="eastAsia" w:ascii="仿宋" w:hAnsi="仿宋" w:eastAsia="仿宋" w:cs="仿宋"/>
          <w:bCs/>
          <w:sz w:val="28"/>
          <w:szCs w:val="28"/>
        </w:rPr>
        <w:t xml:space="preserve">日    期： </w:t>
      </w:r>
      <w:r>
        <w:rPr>
          <w:rFonts w:hint="eastAsia" w:ascii="仿宋" w:hAnsi="仿宋" w:eastAsia="仿宋" w:cs="仿宋"/>
          <w:bCs/>
          <w:sz w:val="28"/>
          <w:szCs w:val="28"/>
          <w:u w:val="single"/>
        </w:rPr>
        <w:t xml:space="preserve">        年    月   日</w:t>
      </w:r>
    </w:p>
    <w:p w14:paraId="0A25992F">
      <w:pPr>
        <w:spacing w:line="300" w:lineRule="auto"/>
        <w:jc w:val="center"/>
        <w:rPr>
          <w:rFonts w:hint="eastAsia" w:ascii="仿宋" w:hAnsi="仿宋" w:eastAsia="仿宋" w:cs="仿宋"/>
          <w:b/>
          <w:sz w:val="28"/>
          <w:szCs w:val="28"/>
        </w:rPr>
      </w:pPr>
      <w:r>
        <w:rPr>
          <w:rFonts w:hint="eastAsia" w:ascii="仿宋" w:hAnsi="仿宋" w:eastAsia="仿宋" w:cs="仿宋"/>
          <w:b/>
          <w:bCs/>
          <w:sz w:val="28"/>
          <w:szCs w:val="28"/>
          <w:u w:val="single"/>
        </w:rPr>
        <w:br w:type="page" w:clear="all"/>
      </w:r>
      <w:r>
        <w:rPr>
          <w:rFonts w:hint="eastAsia" w:ascii="仿宋" w:hAnsi="仿宋" w:eastAsia="仿宋" w:cs="仿宋"/>
          <w:b/>
          <w:sz w:val="28"/>
          <w:szCs w:val="28"/>
        </w:rPr>
        <w:t>合同条款前附表</w:t>
      </w:r>
    </w:p>
    <w:tbl>
      <w:tblPr>
        <w:tblStyle w:val="46"/>
        <w:tblW w:w="950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945"/>
        <w:gridCol w:w="791"/>
        <w:gridCol w:w="2159"/>
        <w:gridCol w:w="5605"/>
      </w:tblGrid>
      <w:tr w14:paraId="397505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noWrap w:val="0"/>
            <w:vAlign w:val="center"/>
          </w:tcPr>
          <w:p w14:paraId="3E7696D8">
            <w:pPr>
              <w:tabs>
                <w:tab w:val="left" w:pos="700"/>
              </w:tabs>
              <w:jc w:val="center"/>
              <w:rPr>
                <w:rFonts w:hint="eastAsia" w:ascii="仿宋" w:hAnsi="仿宋" w:eastAsia="仿宋" w:cs="仿宋"/>
                <w:b/>
                <w:sz w:val="24"/>
                <w:szCs w:val="24"/>
              </w:rPr>
            </w:pPr>
            <w:r>
              <w:rPr>
                <w:rFonts w:hint="eastAsia" w:ascii="仿宋" w:hAnsi="仿宋" w:eastAsia="仿宋" w:cs="仿宋"/>
                <w:b/>
                <w:sz w:val="24"/>
                <w:szCs w:val="24"/>
              </w:rPr>
              <w:t>序号</w:t>
            </w:r>
          </w:p>
        </w:tc>
        <w:tc>
          <w:tcPr>
            <w:tcW w:w="8555" w:type="dxa"/>
            <w:gridSpan w:val="3"/>
            <w:noWrap w:val="0"/>
            <w:vAlign w:val="center"/>
          </w:tcPr>
          <w:p w14:paraId="6ED95497">
            <w:pPr>
              <w:tabs>
                <w:tab w:val="left" w:pos="700"/>
              </w:tabs>
              <w:jc w:val="center"/>
              <w:rPr>
                <w:rFonts w:hint="eastAsia" w:ascii="仿宋" w:hAnsi="仿宋" w:eastAsia="仿宋" w:cs="仿宋"/>
                <w:b/>
                <w:sz w:val="24"/>
                <w:szCs w:val="24"/>
              </w:rPr>
            </w:pPr>
            <w:r>
              <w:rPr>
                <w:rFonts w:hint="eastAsia" w:ascii="仿宋" w:hAnsi="仿宋" w:eastAsia="仿宋" w:cs="仿宋"/>
                <w:b/>
                <w:sz w:val="24"/>
                <w:szCs w:val="24"/>
              </w:rPr>
              <w:t>内        容</w:t>
            </w:r>
          </w:p>
        </w:tc>
      </w:tr>
      <w:tr w14:paraId="14907D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38" w:hRule="exact"/>
          <w:jc w:val="center"/>
        </w:trPr>
        <w:tc>
          <w:tcPr>
            <w:tcW w:w="945" w:type="dxa"/>
            <w:noWrap w:val="0"/>
            <w:vAlign w:val="center"/>
          </w:tcPr>
          <w:p w14:paraId="73415FB6">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1</w:t>
            </w:r>
          </w:p>
        </w:tc>
        <w:tc>
          <w:tcPr>
            <w:tcW w:w="2950" w:type="dxa"/>
            <w:gridSpan w:val="2"/>
            <w:noWrap w:val="0"/>
            <w:vAlign w:val="center"/>
          </w:tcPr>
          <w:p w14:paraId="7B5F9F89">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合同名称</w:t>
            </w:r>
          </w:p>
        </w:tc>
        <w:tc>
          <w:tcPr>
            <w:tcW w:w="5605" w:type="dxa"/>
            <w:noWrap w:val="0"/>
            <w:vAlign w:val="center"/>
          </w:tcPr>
          <w:p w14:paraId="20778A21">
            <w:pPr>
              <w:tabs>
                <w:tab w:val="left" w:pos="700"/>
              </w:tabs>
              <w:rPr>
                <w:rFonts w:hint="eastAsia" w:ascii="仿宋" w:hAnsi="仿宋" w:eastAsia="仿宋" w:cs="仿宋"/>
                <w:bCs/>
                <w:sz w:val="24"/>
                <w:szCs w:val="24"/>
              </w:rPr>
            </w:pPr>
            <w:r>
              <w:rPr>
                <w:rFonts w:hint="eastAsia" w:ascii="仿宋" w:hAnsi="仿宋" w:eastAsia="仿宋" w:cs="仿宋"/>
                <w:bCs/>
                <w:sz w:val="24"/>
                <w:szCs w:val="24"/>
                <w:lang w:val="en-US" w:eastAsia="zh-CN"/>
              </w:rPr>
              <w:t xml:space="preserve"> </w:t>
            </w:r>
          </w:p>
        </w:tc>
      </w:tr>
      <w:tr w14:paraId="6CCE1C6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noWrap w:val="0"/>
            <w:vAlign w:val="center"/>
          </w:tcPr>
          <w:p w14:paraId="5D7437E4">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2</w:t>
            </w:r>
          </w:p>
        </w:tc>
        <w:tc>
          <w:tcPr>
            <w:tcW w:w="2950" w:type="dxa"/>
            <w:gridSpan w:val="2"/>
            <w:noWrap w:val="0"/>
            <w:vAlign w:val="center"/>
          </w:tcPr>
          <w:p w14:paraId="01F820BB">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合同编号</w:t>
            </w:r>
          </w:p>
        </w:tc>
        <w:tc>
          <w:tcPr>
            <w:tcW w:w="5605" w:type="dxa"/>
            <w:noWrap w:val="0"/>
            <w:vAlign w:val="center"/>
          </w:tcPr>
          <w:p w14:paraId="50CA077D">
            <w:pPr>
              <w:tabs>
                <w:tab w:val="left" w:pos="700"/>
              </w:tabs>
              <w:rPr>
                <w:rFonts w:hint="eastAsia" w:ascii="仿宋" w:hAnsi="仿宋" w:eastAsia="仿宋" w:cs="仿宋"/>
                <w:bCs/>
                <w:sz w:val="24"/>
                <w:szCs w:val="24"/>
              </w:rPr>
            </w:pPr>
          </w:p>
        </w:tc>
      </w:tr>
      <w:tr w14:paraId="1C7905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noWrap w:val="0"/>
            <w:vAlign w:val="center"/>
          </w:tcPr>
          <w:p w14:paraId="72AC49AB">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3</w:t>
            </w:r>
          </w:p>
        </w:tc>
        <w:tc>
          <w:tcPr>
            <w:tcW w:w="2950" w:type="dxa"/>
            <w:gridSpan w:val="2"/>
            <w:noWrap w:val="0"/>
            <w:vAlign w:val="center"/>
          </w:tcPr>
          <w:p w14:paraId="52122514">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合同类型</w:t>
            </w:r>
          </w:p>
        </w:tc>
        <w:tc>
          <w:tcPr>
            <w:tcW w:w="5605" w:type="dxa"/>
            <w:noWrap w:val="0"/>
            <w:vAlign w:val="center"/>
          </w:tcPr>
          <w:p w14:paraId="2659E350">
            <w:pPr>
              <w:tabs>
                <w:tab w:val="left" w:pos="700"/>
              </w:tabs>
              <w:rPr>
                <w:rFonts w:hint="eastAsia" w:ascii="仿宋" w:hAnsi="仿宋" w:eastAsia="仿宋" w:cs="仿宋"/>
                <w:bCs/>
                <w:sz w:val="24"/>
                <w:szCs w:val="24"/>
              </w:rPr>
            </w:pPr>
            <w:r>
              <w:rPr>
                <w:rFonts w:hint="eastAsia" w:ascii="仿宋" w:hAnsi="仿宋" w:eastAsia="仿宋" w:cs="仿宋"/>
                <w:bCs/>
                <w:sz w:val="24"/>
                <w:szCs w:val="24"/>
              </w:rPr>
              <w:t>单价合同</w:t>
            </w:r>
          </w:p>
        </w:tc>
      </w:tr>
      <w:tr w14:paraId="39B18F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noWrap w:val="0"/>
            <w:vAlign w:val="center"/>
          </w:tcPr>
          <w:p w14:paraId="6D83D43F">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4</w:t>
            </w:r>
          </w:p>
        </w:tc>
        <w:tc>
          <w:tcPr>
            <w:tcW w:w="2950" w:type="dxa"/>
            <w:gridSpan w:val="2"/>
            <w:noWrap w:val="0"/>
            <w:vAlign w:val="center"/>
          </w:tcPr>
          <w:p w14:paraId="4347A234">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定价方式</w:t>
            </w:r>
          </w:p>
        </w:tc>
        <w:tc>
          <w:tcPr>
            <w:tcW w:w="5605" w:type="dxa"/>
            <w:noWrap w:val="0"/>
            <w:vAlign w:val="center"/>
          </w:tcPr>
          <w:p w14:paraId="283A5278">
            <w:pPr>
              <w:tabs>
                <w:tab w:val="left" w:pos="700"/>
              </w:tabs>
              <w:rPr>
                <w:rFonts w:hint="eastAsia" w:ascii="仿宋" w:hAnsi="仿宋" w:eastAsia="仿宋" w:cs="仿宋"/>
                <w:bCs/>
                <w:sz w:val="24"/>
                <w:szCs w:val="24"/>
              </w:rPr>
            </w:pPr>
          </w:p>
        </w:tc>
      </w:tr>
      <w:tr w14:paraId="1DACA7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vMerge w:val="restart"/>
            <w:noWrap w:val="0"/>
            <w:vAlign w:val="center"/>
          </w:tcPr>
          <w:p w14:paraId="73B94C34">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5</w:t>
            </w:r>
          </w:p>
        </w:tc>
        <w:tc>
          <w:tcPr>
            <w:tcW w:w="2950" w:type="dxa"/>
            <w:gridSpan w:val="2"/>
            <w:noWrap w:val="0"/>
            <w:vAlign w:val="center"/>
          </w:tcPr>
          <w:p w14:paraId="63647C83">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甲方名称</w:t>
            </w:r>
          </w:p>
        </w:tc>
        <w:tc>
          <w:tcPr>
            <w:tcW w:w="5605" w:type="dxa"/>
            <w:noWrap w:val="0"/>
            <w:vAlign w:val="center"/>
          </w:tcPr>
          <w:p w14:paraId="2FA19E90">
            <w:pPr>
              <w:tabs>
                <w:tab w:val="left" w:pos="700"/>
              </w:tabs>
              <w:rPr>
                <w:rFonts w:hint="eastAsia" w:ascii="仿宋" w:hAnsi="仿宋" w:eastAsia="仿宋" w:cs="仿宋"/>
                <w:bCs/>
                <w:sz w:val="24"/>
                <w:szCs w:val="24"/>
                <w:lang w:eastAsia="zh-CN"/>
              </w:rPr>
            </w:pPr>
            <w:r>
              <w:rPr>
                <w:rFonts w:hint="eastAsia" w:ascii="仿宋" w:hAnsi="仿宋" w:eastAsia="仿宋" w:cs="仿宋"/>
                <w:bCs/>
                <w:sz w:val="24"/>
                <w:szCs w:val="24"/>
                <w:lang w:eastAsia="zh-CN"/>
              </w:rPr>
              <w:t>江苏盱眙农村商业银行股份有限公司</w:t>
            </w:r>
          </w:p>
        </w:tc>
      </w:tr>
      <w:tr w14:paraId="574155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vMerge w:val="continue"/>
            <w:noWrap w:val="0"/>
            <w:vAlign w:val="center"/>
          </w:tcPr>
          <w:p w14:paraId="690A1EE7">
            <w:pPr>
              <w:widowControl/>
              <w:rPr>
                <w:rFonts w:hint="eastAsia" w:ascii="仿宋" w:hAnsi="仿宋" w:eastAsia="仿宋" w:cs="仿宋"/>
                <w:sz w:val="24"/>
                <w:szCs w:val="24"/>
              </w:rPr>
            </w:pPr>
          </w:p>
        </w:tc>
        <w:tc>
          <w:tcPr>
            <w:tcW w:w="2950" w:type="dxa"/>
            <w:gridSpan w:val="2"/>
            <w:noWrap w:val="0"/>
            <w:vAlign w:val="center"/>
          </w:tcPr>
          <w:p w14:paraId="68A418EB">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甲方地址</w:t>
            </w:r>
          </w:p>
        </w:tc>
        <w:tc>
          <w:tcPr>
            <w:tcW w:w="5605" w:type="dxa"/>
            <w:noWrap w:val="0"/>
            <w:vAlign w:val="center"/>
          </w:tcPr>
          <w:p w14:paraId="65D35F02">
            <w:pPr>
              <w:tabs>
                <w:tab w:val="left" w:pos="700"/>
              </w:tabs>
              <w:rPr>
                <w:rFonts w:hint="eastAsia" w:ascii="仿宋" w:hAnsi="仿宋" w:eastAsia="仿宋" w:cs="仿宋"/>
                <w:bCs/>
                <w:sz w:val="24"/>
                <w:szCs w:val="24"/>
                <w:lang w:eastAsia="zh-CN"/>
              </w:rPr>
            </w:pPr>
            <w:r>
              <w:rPr>
                <w:rFonts w:hint="eastAsia" w:ascii="仿宋" w:hAnsi="仿宋" w:eastAsia="仿宋" w:cs="仿宋"/>
                <w:bCs/>
                <w:sz w:val="24"/>
                <w:szCs w:val="24"/>
                <w:lang w:eastAsia="zh-CN"/>
              </w:rPr>
              <w:t>合欢大道2号</w:t>
            </w:r>
          </w:p>
        </w:tc>
      </w:tr>
      <w:tr w14:paraId="5F61877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32" w:hRule="exact"/>
          <w:jc w:val="center"/>
        </w:trPr>
        <w:tc>
          <w:tcPr>
            <w:tcW w:w="945" w:type="dxa"/>
            <w:vMerge w:val="continue"/>
            <w:noWrap w:val="0"/>
            <w:vAlign w:val="center"/>
          </w:tcPr>
          <w:p w14:paraId="15F1AB33">
            <w:pPr>
              <w:widowControl/>
              <w:rPr>
                <w:rFonts w:hint="eastAsia" w:ascii="仿宋" w:hAnsi="仿宋" w:eastAsia="仿宋" w:cs="仿宋"/>
                <w:sz w:val="24"/>
                <w:szCs w:val="24"/>
              </w:rPr>
            </w:pPr>
          </w:p>
        </w:tc>
        <w:tc>
          <w:tcPr>
            <w:tcW w:w="791" w:type="dxa"/>
            <w:vMerge w:val="restart"/>
            <w:noWrap w:val="0"/>
            <w:vAlign w:val="center"/>
          </w:tcPr>
          <w:p w14:paraId="0552419E">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甲方相关部门</w:t>
            </w:r>
          </w:p>
        </w:tc>
        <w:tc>
          <w:tcPr>
            <w:tcW w:w="2159" w:type="dxa"/>
            <w:noWrap w:val="0"/>
            <w:vAlign w:val="center"/>
          </w:tcPr>
          <w:p w14:paraId="1AF9206E">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甲方采购部门</w:t>
            </w:r>
          </w:p>
        </w:tc>
        <w:tc>
          <w:tcPr>
            <w:tcW w:w="5605" w:type="dxa"/>
            <w:noWrap w:val="0"/>
            <w:vAlign w:val="center"/>
          </w:tcPr>
          <w:p w14:paraId="768DF9EF">
            <w:pPr>
              <w:tabs>
                <w:tab w:val="left" w:pos="700"/>
              </w:tabs>
              <w:rPr>
                <w:rFonts w:hint="eastAsia" w:ascii="仿宋" w:hAnsi="仿宋" w:eastAsia="仿宋" w:cs="仿宋"/>
                <w:bCs/>
                <w:sz w:val="24"/>
                <w:szCs w:val="24"/>
              </w:rPr>
            </w:pPr>
          </w:p>
        </w:tc>
      </w:tr>
      <w:tr w14:paraId="2D62EC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vMerge w:val="continue"/>
            <w:noWrap w:val="0"/>
            <w:vAlign w:val="center"/>
          </w:tcPr>
          <w:p w14:paraId="5B973819">
            <w:pPr>
              <w:widowControl/>
              <w:rPr>
                <w:rFonts w:hint="eastAsia" w:ascii="仿宋" w:hAnsi="仿宋" w:eastAsia="仿宋" w:cs="仿宋"/>
                <w:sz w:val="24"/>
                <w:szCs w:val="24"/>
              </w:rPr>
            </w:pPr>
          </w:p>
        </w:tc>
        <w:tc>
          <w:tcPr>
            <w:tcW w:w="791" w:type="dxa"/>
            <w:vMerge w:val="continue"/>
            <w:noWrap w:val="0"/>
            <w:vAlign w:val="center"/>
          </w:tcPr>
          <w:p w14:paraId="2F7D59CA">
            <w:pPr>
              <w:tabs>
                <w:tab w:val="left" w:pos="700"/>
              </w:tabs>
              <w:jc w:val="center"/>
              <w:rPr>
                <w:rFonts w:hint="eastAsia" w:ascii="仿宋" w:hAnsi="仿宋" w:eastAsia="仿宋" w:cs="仿宋"/>
                <w:sz w:val="24"/>
                <w:szCs w:val="24"/>
              </w:rPr>
            </w:pPr>
          </w:p>
        </w:tc>
        <w:tc>
          <w:tcPr>
            <w:tcW w:w="2159" w:type="dxa"/>
            <w:noWrap w:val="0"/>
            <w:vAlign w:val="center"/>
          </w:tcPr>
          <w:p w14:paraId="3135632D">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联系人</w:t>
            </w:r>
          </w:p>
        </w:tc>
        <w:tc>
          <w:tcPr>
            <w:tcW w:w="5605" w:type="dxa"/>
            <w:noWrap w:val="0"/>
            <w:vAlign w:val="center"/>
          </w:tcPr>
          <w:p w14:paraId="5552B2F1">
            <w:pPr>
              <w:tabs>
                <w:tab w:val="left" w:pos="700"/>
              </w:tabs>
              <w:rPr>
                <w:rFonts w:hint="eastAsia" w:ascii="仿宋" w:hAnsi="仿宋" w:eastAsia="仿宋" w:cs="仿宋"/>
                <w:sz w:val="24"/>
                <w:szCs w:val="24"/>
              </w:rPr>
            </w:pPr>
          </w:p>
        </w:tc>
      </w:tr>
      <w:tr w14:paraId="1114D5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vMerge w:val="continue"/>
            <w:noWrap w:val="0"/>
            <w:vAlign w:val="center"/>
          </w:tcPr>
          <w:p w14:paraId="2DBFBDC6">
            <w:pPr>
              <w:widowControl/>
              <w:rPr>
                <w:rFonts w:hint="eastAsia" w:ascii="仿宋" w:hAnsi="仿宋" w:eastAsia="仿宋" w:cs="仿宋"/>
                <w:sz w:val="24"/>
                <w:szCs w:val="24"/>
              </w:rPr>
            </w:pPr>
          </w:p>
        </w:tc>
        <w:tc>
          <w:tcPr>
            <w:tcW w:w="791" w:type="dxa"/>
            <w:vMerge w:val="continue"/>
            <w:noWrap w:val="0"/>
            <w:vAlign w:val="center"/>
          </w:tcPr>
          <w:p w14:paraId="0DDAA8AA">
            <w:pPr>
              <w:tabs>
                <w:tab w:val="left" w:pos="700"/>
              </w:tabs>
              <w:jc w:val="center"/>
              <w:rPr>
                <w:rFonts w:hint="eastAsia" w:ascii="仿宋" w:hAnsi="仿宋" w:eastAsia="仿宋" w:cs="仿宋"/>
                <w:sz w:val="24"/>
                <w:szCs w:val="24"/>
              </w:rPr>
            </w:pPr>
          </w:p>
        </w:tc>
        <w:tc>
          <w:tcPr>
            <w:tcW w:w="2159" w:type="dxa"/>
            <w:noWrap w:val="0"/>
            <w:vAlign w:val="center"/>
          </w:tcPr>
          <w:p w14:paraId="7739C9A9">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联系电话</w:t>
            </w:r>
          </w:p>
        </w:tc>
        <w:tc>
          <w:tcPr>
            <w:tcW w:w="5605" w:type="dxa"/>
            <w:noWrap w:val="0"/>
            <w:vAlign w:val="center"/>
          </w:tcPr>
          <w:p w14:paraId="129DA3E0">
            <w:pPr>
              <w:tabs>
                <w:tab w:val="left" w:pos="700"/>
              </w:tabs>
              <w:rPr>
                <w:rFonts w:hint="eastAsia" w:ascii="仿宋" w:hAnsi="仿宋" w:eastAsia="仿宋" w:cs="仿宋"/>
                <w:sz w:val="24"/>
                <w:szCs w:val="24"/>
              </w:rPr>
            </w:pPr>
          </w:p>
        </w:tc>
      </w:tr>
      <w:tr w14:paraId="5A2D7B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7" w:hRule="exact"/>
          <w:jc w:val="center"/>
        </w:trPr>
        <w:tc>
          <w:tcPr>
            <w:tcW w:w="945" w:type="dxa"/>
            <w:vMerge w:val="continue"/>
            <w:noWrap w:val="0"/>
            <w:vAlign w:val="center"/>
          </w:tcPr>
          <w:p w14:paraId="43122D78">
            <w:pPr>
              <w:widowControl/>
              <w:rPr>
                <w:rFonts w:hint="eastAsia" w:ascii="仿宋" w:hAnsi="仿宋" w:eastAsia="仿宋" w:cs="仿宋"/>
                <w:sz w:val="24"/>
                <w:szCs w:val="24"/>
              </w:rPr>
            </w:pPr>
          </w:p>
        </w:tc>
        <w:tc>
          <w:tcPr>
            <w:tcW w:w="791" w:type="dxa"/>
            <w:vMerge w:val="continue"/>
            <w:noWrap w:val="0"/>
            <w:vAlign w:val="center"/>
          </w:tcPr>
          <w:p w14:paraId="7A48C6F0">
            <w:pPr>
              <w:tabs>
                <w:tab w:val="left" w:pos="700"/>
              </w:tabs>
              <w:jc w:val="center"/>
              <w:rPr>
                <w:rFonts w:hint="eastAsia" w:ascii="仿宋" w:hAnsi="仿宋" w:eastAsia="仿宋" w:cs="仿宋"/>
                <w:sz w:val="24"/>
                <w:szCs w:val="24"/>
              </w:rPr>
            </w:pPr>
          </w:p>
        </w:tc>
        <w:tc>
          <w:tcPr>
            <w:tcW w:w="2159" w:type="dxa"/>
            <w:noWrap w:val="0"/>
            <w:vAlign w:val="center"/>
          </w:tcPr>
          <w:p w14:paraId="0D8C746E">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甲方需求部门</w:t>
            </w:r>
          </w:p>
        </w:tc>
        <w:tc>
          <w:tcPr>
            <w:tcW w:w="5605" w:type="dxa"/>
            <w:noWrap w:val="0"/>
            <w:vAlign w:val="center"/>
          </w:tcPr>
          <w:p w14:paraId="2ABD57D6">
            <w:pPr>
              <w:tabs>
                <w:tab w:val="left" w:pos="700"/>
              </w:tabs>
              <w:rPr>
                <w:rFonts w:hint="eastAsia" w:ascii="仿宋" w:hAnsi="仿宋" w:eastAsia="仿宋" w:cs="仿宋"/>
                <w:sz w:val="24"/>
                <w:szCs w:val="24"/>
              </w:rPr>
            </w:pPr>
          </w:p>
        </w:tc>
      </w:tr>
      <w:tr w14:paraId="7496FD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vMerge w:val="continue"/>
            <w:noWrap w:val="0"/>
            <w:vAlign w:val="center"/>
          </w:tcPr>
          <w:p w14:paraId="2B14204E">
            <w:pPr>
              <w:widowControl/>
              <w:rPr>
                <w:rFonts w:hint="eastAsia" w:ascii="仿宋" w:hAnsi="仿宋" w:eastAsia="仿宋" w:cs="仿宋"/>
                <w:sz w:val="24"/>
                <w:szCs w:val="24"/>
              </w:rPr>
            </w:pPr>
          </w:p>
        </w:tc>
        <w:tc>
          <w:tcPr>
            <w:tcW w:w="791" w:type="dxa"/>
            <w:vMerge w:val="continue"/>
            <w:noWrap w:val="0"/>
            <w:vAlign w:val="center"/>
          </w:tcPr>
          <w:p w14:paraId="1982A82E">
            <w:pPr>
              <w:tabs>
                <w:tab w:val="left" w:pos="700"/>
              </w:tabs>
              <w:jc w:val="center"/>
              <w:rPr>
                <w:rFonts w:hint="eastAsia" w:ascii="仿宋" w:hAnsi="仿宋" w:eastAsia="仿宋" w:cs="仿宋"/>
                <w:sz w:val="24"/>
                <w:szCs w:val="24"/>
              </w:rPr>
            </w:pPr>
          </w:p>
        </w:tc>
        <w:tc>
          <w:tcPr>
            <w:tcW w:w="2159" w:type="dxa"/>
            <w:noWrap w:val="0"/>
            <w:vAlign w:val="center"/>
          </w:tcPr>
          <w:p w14:paraId="7AC44648">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联系人</w:t>
            </w:r>
          </w:p>
        </w:tc>
        <w:tc>
          <w:tcPr>
            <w:tcW w:w="5605" w:type="dxa"/>
            <w:noWrap w:val="0"/>
            <w:vAlign w:val="center"/>
          </w:tcPr>
          <w:p w14:paraId="1E4248B7">
            <w:pPr>
              <w:tabs>
                <w:tab w:val="left" w:pos="700"/>
              </w:tabs>
              <w:rPr>
                <w:rFonts w:hint="eastAsia" w:ascii="仿宋" w:hAnsi="仿宋" w:eastAsia="仿宋" w:cs="仿宋"/>
                <w:sz w:val="24"/>
                <w:szCs w:val="24"/>
              </w:rPr>
            </w:pPr>
          </w:p>
        </w:tc>
      </w:tr>
      <w:tr w14:paraId="6417D17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vMerge w:val="continue"/>
            <w:noWrap w:val="0"/>
            <w:vAlign w:val="center"/>
          </w:tcPr>
          <w:p w14:paraId="047DC10E">
            <w:pPr>
              <w:widowControl/>
              <w:rPr>
                <w:rFonts w:hint="eastAsia" w:ascii="仿宋" w:hAnsi="仿宋" w:eastAsia="仿宋" w:cs="仿宋"/>
                <w:sz w:val="24"/>
                <w:szCs w:val="24"/>
              </w:rPr>
            </w:pPr>
          </w:p>
        </w:tc>
        <w:tc>
          <w:tcPr>
            <w:tcW w:w="791" w:type="dxa"/>
            <w:vMerge w:val="continue"/>
            <w:noWrap w:val="0"/>
            <w:vAlign w:val="center"/>
          </w:tcPr>
          <w:p w14:paraId="2F314A82">
            <w:pPr>
              <w:tabs>
                <w:tab w:val="left" w:pos="700"/>
              </w:tabs>
              <w:jc w:val="center"/>
              <w:rPr>
                <w:rFonts w:hint="eastAsia" w:ascii="仿宋" w:hAnsi="仿宋" w:eastAsia="仿宋" w:cs="仿宋"/>
                <w:sz w:val="24"/>
                <w:szCs w:val="24"/>
              </w:rPr>
            </w:pPr>
          </w:p>
        </w:tc>
        <w:tc>
          <w:tcPr>
            <w:tcW w:w="2159" w:type="dxa"/>
            <w:noWrap w:val="0"/>
            <w:vAlign w:val="center"/>
          </w:tcPr>
          <w:p w14:paraId="0FD802B6">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联系电话</w:t>
            </w:r>
          </w:p>
        </w:tc>
        <w:tc>
          <w:tcPr>
            <w:tcW w:w="5605" w:type="dxa"/>
            <w:noWrap w:val="0"/>
            <w:vAlign w:val="center"/>
          </w:tcPr>
          <w:p w14:paraId="6DD5D6EB">
            <w:pPr>
              <w:tabs>
                <w:tab w:val="left" w:pos="700"/>
              </w:tabs>
              <w:rPr>
                <w:rFonts w:hint="eastAsia" w:ascii="仿宋" w:hAnsi="仿宋" w:eastAsia="仿宋" w:cs="仿宋"/>
                <w:sz w:val="24"/>
                <w:szCs w:val="24"/>
              </w:rPr>
            </w:pPr>
          </w:p>
        </w:tc>
      </w:tr>
      <w:tr w14:paraId="6BA4E0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vMerge w:val="restart"/>
            <w:noWrap w:val="0"/>
            <w:vAlign w:val="center"/>
          </w:tcPr>
          <w:p w14:paraId="78A02E10">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6</w:t>
            </w:r>
          </w:p>
        </w:tc>
        <w:tc>
          <w:tcPr>
            <w:tcW w:w="2950" w:type="dxa"/>
            <w:gridSpan w:val="2"/>
            <w:noWrap w:val="0"/>
            <w:vAlign w:val="center"/>
          </w:tcPr>
          <w:p w14:paraId="13EF61B6">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乙方名称</w:t>
            </w:r>
          </w:p>
        </w:tc>
        <w:tc>
          <w:tcPr>
            <w:tcW w:w="5605" w:type="dxa"/>
            <w:noWrap w:val="0"/>
            <w:vAlign w:val="center"/>
          </w:tcPr>
          <w:p w14:paraId="656FD851">
            <w:pPr>
              <w:tabs>
                <w:tab w:val="left" w:pos="700"/>
              </w:tabs>
              <w:rPr>
                <w:rFonts w:hint="eastAsia" w:ascii="仿宋" w:hAnsi="仿宋" w:eastAsia="仿宋" w:cs="仿宋"/>
                <w:sz w:val="24"/>
                <w:szCs w:val="24"/>
              </w:rPr>
            </w:pPr>
          </w:p>
        </w:tc>
      </w:tr>
      <w:tr w14:paraId="50D594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115" w:hRule="exact"/>
          <w:jc w:val="center"/>
        </w:trPr>
        <w:tc>
          <w:tcPr>
            <w:tcW w:w="945" w:type="dxa"/>
            <w:vMerge w:val="continue"/>
            <w:noWrap w:val="0"/>
            <w:vAlign w:val="center"/>
          </w:tcPr>
          <w:p w14:paraId="77C122F5">
            <w:pPr>
              <w:widowControl/>
              <w:rPr>
                <w:rFonts w:hint="eastAsia" w:ascii="仿宋" w:hAnsi="仿宋" w:eastAsia="仿宋" w:cs="仿宋"/>
                <w:sz w:val="24"/>
                <w:szCs w:val="24"/>
              </w:rPr>
            </w:pPr>
          </w:p>
        </w:tc>
        <w:tc>
          <w:tcPr>
            <w:tcW w:w="2950" w:type="dxa"/>
            <w:gridSpan w:val="2"/>
            <w:noWrap w:val="0"/>
            <w:vAlign w:val="center"/>
          </w:tcPr>
          <w:p w14:paraId="6CAB3EBC">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乙方企业性质</w:t>
            </w:r>
          </w:p>
        </w:tc>
        <w:tc>
          <w:tcPr>
            <w:tcW w:w="5605" w:type="dxa"/>
            <w:noWrap w:val="0"/>
            <w:vAlign w:val="center"/>
          </w:tcPr>
          <w:p w14:paraId="2C0AB4B7">
            <w:pPr>
              <w:tabs>
                <w:tab w:val="left" w:pos="700"/>
              </w:tabs>
              <w:rPr>
                <w:rFonts w:hint="eastAsia" w:ascii="仿宋" w:hAnsi="仿宋" w:eastAsia="仿宋" w:cs="仿宋"/>
                <w:color w:val="auto"/>
                <w:sz w:val="24"/>
                <w:szCs w:val="24"/>
                <w:highlight w:val="none"/>
              </w:rPr>
            </w:pP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 xml:space="preserve"> 中型企业  </w:t>
            </w: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 xml:space="preserve"> 小型企业       </w:t>
            </w: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 xml:space="preserve"> 微型企业    </w:t>
            </w:r>
          </w:p>
          <w:p w14:paraId="1479D2BE">
            <w:pPr>
              <w:tabs>
                <w:tab w:val="left" w:pos="700"/>
              </w:tabs>
              <w:rPr>
                <w:rFonts w:hint="eastAsia" w:ascii="仿宋" w:hAnsi="仿宋" w:eastAsia="仿宋" w:cs="仿宋"/>
                <w:sz w:val="24"/>
                <w:szCs w:val="24"/>
              </w:rPr>
            </w:pP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 xml:space="preserve">监狱企业  </w:t>
            </w: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 xml:space="preserve"> 残疾人福利性单位 </w:t>
            </w:r>
            <w:r>
              <w:rPr>
                <w:rFonts w:hint="eastAsia" w:ascii="仿宋" w:hAnsi="仿宋" w:eastAsia="仿宋" w:cs="仿宋"/>
                <w:color w:val="auto"/>
                <w:sz w:val="24"/>
                <w:szCs w:val="24"/>
                <w:highlight w:val="none"/>
              </w:rPr>
              <w:sym w:font="Wingdings" w:char="00A8"/>
            </w:r>
            <w:r>
              <w:rPr>
                <w:rFonts w:hint="eastAsia" w:ascii="仿宋" w:hAnsi="仿宋" w:eastAsia="仿宋" w:cs="仿宋"/>
                <w:color w:val="auto"/>
                <w:sz w:val="24"/>
                <w:szCs w:val="24"/>
                <w:highlight w:val="none"/>
              </w:rPr>
              <w:t xml:space="preserve"> 其他</w:t>
            </w:r>
          </w:p>
        </w:tc>
      </w:tr>
      <w:tr w14:paraId="54B8B7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vMerge w:val="continue"/>
            <w:noWrap w:val="0"/>
            <w:vAlign w:val="center"/>
          </w:tcPr>
          <w:p w14:paraId="4735228F">
            <w:pPr>
              <w:widowControl/>
              <w:rPr>
                <w:rFonts w:hint="eastAsia" w:ascii="仿宋" w:hAnsi="仿宋" w:eastAsia="仿宋" w:cs="仿宋"/>
                <w:sz w:val="24"/>
                <w:szCs w:val="24"/>
              </w:rPr>
            </w:pPr>
          </w:p>
        </w:tc>
        <w:tc>
          <w:tcPr>
            <w:tcW w:w="2950" w:type="dxa"/>
            <w:gridSpan w:val="2"/>
            <w:noWrap w:val="0"/>
            <w:vAlign w:val="center"/>
          </w:tcPr>
          <w:p w14:paraId="186A8472">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乙方地址</w:t>
            </w:r>
          </w:p>
        </w:tc>
        <w:tc>
          <w:tcPr>
            <w:tcW w:w="5605" w:type="dxa"/>
            <w:noWrap w:val="0"/>
            <w:vAlign w:val="center"/>
          </w:tcPr>
          <w:p w14:paraId="234ABD6C">
            <w:pPr>
              <w:tabs>
                <w:tab w:val="left" w:pos="700"/>
              </w:tabs>
              <w:rPr>
                <w:rFonts w:hint="eastAsia" w:ascii="仿宋" w:hAnsi="仿宋" w:eastAsia="仿宋" w:cs="仿宋"/>
                <w:sz w:val="24"/>
                <w:szCs w:val="24"/>
              </w:rPr>
            </w:pPr>
          </w:p>
        </w:tc>
      </w:tr>
      <w:tr w14:paraId="6D1757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vMerge w:val="continue"/>
            <w:noWrap w:val="0"/>
            <w:vAlign w:val="center"/>
          </w:tcPr>
          <w:p w14:paraId="1CFD3D92">
            <w:pPr>
              <w:widowControl/>
              <w:rPr>
                <w:rFonts w:hint="eastAsia" w:ascii="仿宋" w:hAnsi="仿宋" w:eastAsia="仿宋" w:cs="仿宋"/>
                <w:sz w:val="24"/>
                <w:szCs w:val="24"/>
              </w:rPr>
            </w:pPr>
          </w:p>
        </w:tc>
        <w:tc>
          <w:tcPr>
            <w:tcW w:w="2950" w:type="dxa"/>
            <w:gridSpan w:val="2"/>
            <w:noWrap w:val="0"/>
            <w:vAlign w:val="center"/>
          </w:tcPr>
          <w:p w14:paraId="261ACD67">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乙方联系人</w:t>
            </w:r>
          </w:p>
        </w:tc>
        <w:tc>
          <w:tcPr>
            <w:tcW w:w="5605" w:type="dxa"/>
            <w:noWrap w:val="0"/>
            <w:vAlign w:val="center"/>
          </w:tcPr>
          <w:p w14:paraId="30B77DB3">
            <w:pPr>
              <w:tabs>
                <w:tab w:val="left" w:pos="700"/>
              </w:tabs>
              <w:rPr>
                <w:rFonts w:hint="eastAsia" w:ascii="仿宋" w:hAnsi="仿宋" w:eastAsia="仿宋" w:cs="仿宋"/>
                <w:sz w:val="24"/>
                <w:szCs w:val="24"/>
              </w:rPr>
            </w:pPr>
          </w:p>
        </w:tc>
      </w:tr>
      <w:tr w14:paraId="0D782C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vMerge w:val="continue"/>
            <w:noWrap w:val="0"/>
            <w:vAlign w:val="center"/>
          </w:tcPr>
          <w:p w14:paraId="0508B149">
            <w:pPr>
              <w:widowControl/>
              <w:rPr>
                <w:rFonts w:hint="eastAsia" w:ascii="仿宋" w:hAnsi="仿宋" w:eastAsia="仿宋" w:cs="仿宋"/>
                <w:sz w:val="24"/>
                <w:szCs w:val="24"/>
              </w:rPr>
            </w:pPr>
          </w:p>
        </w:tc>
        <w:tc>
          <w:tcPr>
            <w:tcW w:w="2950" w:type="dxa"/>
            <w:gridSpan w:val="2"/>
            <w:noWrap w:val="0"/>
            <w:vAlign w:val="center"/>
          </w:tcPr>
          <w:p w14:paraId="69C3F880">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联系电话</w:t>
            </w:r>
          </w:p>
        </w:tc>
        <w:tc>
          <w:tcPr>
            <w:tcW w:w="5605" w:type="dxa"/>
            <w:noWrap w:val="0"/>
            <w:vAlign w:val="center"/>
          </w:tcPr>
          <w:p w14:paraId="7F38E2F9">
            <w:pPr>
              <w:tabs>
                <w:tab w:val="left" w:pos="700"/>
              </w:tabs>
              <w:rPr>
                <w:rFonts w:hint="eastAsia" w:ascii="仿宋" w:hAnsi="仿宋" w:eastAsia="仿宋" w:cs="仿宋"/>
                <w:sz w:val="24"/>
                <w:szCs w:val="24"/>
              </w:rPr>
            </w:pPr>
          </w:p>
        </w:tc>
      </w:tr>
      <w:tr w14:paraId="1F9D82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54" w:hRule="exact"/>
          <w:jc w:val="center"/>
        </w:trPr>
        <w:tc>
          <w:tcPr>
            <w:tcW w:w="945" w:type="dxa"/>
            <w:vMerge w:val="continue"/>
            <w:noWrap w:val="0"/>
            <w:vAlign w:val="center"/>
          </w:tcPr>
          <w:p w14:paraId="3B4D261D">
            <w:pPr>
              <w:widowControl/>
              <w:rPr>
                <w:rFonts w:hint="eastAsia" w:ascii="仿宋" w:hAnsi="仿宋" w:eastAsia="仿宋" w:cs="仿宋"/>
                <w:sz w:val="24"/>
                <w:szCs w:val="24"/>
              </w:rPr>
            </w:pPr>
          </w:p>
        </w:tc>
        <w:tc>
          <w:tcPr>
            <w:tcW w:w="2950" w:type="dxa"/>
            <w:gridSpan w:val="2"/>
            <w:noWrap w:val="0"/>
            <w:vAlign w:val="center"/>
          </w:tcPr>
          <w:p w14:paraId="59B387CF">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传真</w:t>
            </w:r>
          </w:p>
        </w:tc>
        <w:tc>
          <w:tcPr>
            <w:tcW w:w="5605" w:type="dxa"/>
            <w:noWrap w:val="0"/>
            <w:vAlign w:val="center"/>
          </w:tcPr>
          <w:p w14:paraId="674BDFC9">
            <w:pPr>
              <w:tabs>
                <w:tab w:val="left" w:pos="700"/>
              </w:tabs>
              <w:rPr>
                <w:rFonts w:hint="eastAsia" w:ascii="仿宋" w:hAnsi="仿宋" w:eastAsia="仿宋" w:cs="仿宋"/>
                <w:sz w:val="24"/>
                <w:szCs w:val="24"/>
              </w:rPr>
            </w:pPr>
          </w:p>
        </w:tc>
      </w:tr>
      <w:tr w14:paraId="10E1C1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0" w:hRule="atLeast"/>
          <w:jc w:val="center"/>
        </w:trPr>
        <w:tc>
          <w:tcPr>
            <w:tcW w:w="945" w:type="dxa"/>
            <w:noWrap w:val="0"/>
            <w:vAlign w:val="center"/>
          </w:tcPr>
          <w:p w14:paraId="68A37AAC">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7</w:t>
            </w:r>
          </w:p>
        </w:tc>
        <w:tc>
          <w:tcPr>
            <w:tcW w:w="2950" w:type="dxa"/>
            <w:gridSpan w:val="2"/>
            <w:noWrap w:val="0"/>
            <w:vAlign w:val="center"/>
          </w:tcPr>
          <w:p w14:paraId="07EF91D4">
            <w:pPr>
              <w:tabs>
                <w:tab w:val="left" w:pos="700"/>
              </w:tabs>
              <w:jc w:val="center"/>
              <w:rPr>
                <w:rFonts w:hint="eastAsia" w:ascii="仿宋" w:hAnsi="仿宋" w:eastAsia="仿宋" w:cs="仿宋"/>
                <w:color w:val="0000FF"/>
                <w:sz w:val="24"/>
                <w:szCs w:val="24"/>
                <w:highlight w:val="yellow"/>
              </w:rPr>
            </w:pPr>
            <w:r>
              <w:rPr>
                <w:rFonts w:hint="eastAsia" w:ascii="仿宋" w:hAnsi="仿宋" w:eastAsia="仿宋" w:cs="仿宋"/>
                <w:color w:val="000000"/>
                <w:sz w:val="24"/>
                <w:szCs w:val="24"/>
                <w:highlight w:val="none"/>
              </w:rPr>
              <w:t>合同费率及金额</w:t>
            </w:r>
          </w:p>
        </w:tc>
        <w:tc>
          <w:tcPr>
            <w:tcW w:w="5605" w:type="dxa"/>
            <w:noWrap w:val="0"/>
            <w:vAlign w:val="center"/>
          </w:tcPr>
          <w:p w14:paraId="1AC77077">
            <w:pPr>
              <w:tabs>
                <w:tab w:val="left" w:pos="700"/>
              </w:tabs>
              <w:spacing w:line="400" w:lineRule="exact"/>
              <w:rPr>
                <w:rFonts w:hint="eastAsia" w:ascii="仿宋" w:hAnsi="仿宋" w:eastAsia="仿宋" w:cs="仿宋"/>
                <w:color w:val="0000FF"/>
                <w:sz w:val="24"/>
                <w:szCs w:val="24"/>
                <w:highlight w:val="yellow"/>
              </w:rPr>
            </w:pPr>
          </w:p>
        </w:tc>
      </w:tr>
      <w:tr w14:paraId="2646021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945" w:type="dxa"/>
            <w:noWrap w:val="0"/>
            <w:vAlign w:val="center"/>
          </w:tcPr>
          <w:p w14:paraId="557B68ED">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8</w:t>
            </w:r>
          </w:p>
        </w:tc>
        <w:tc>
          <w:tcPr>
            <w:tcW w:w="2950" w:type="dxa"/>
            <w:gridSpan w:val="2"/>
            <w:noWrap w:val="0"/>
            <w:vAlign w:val="center"/>
          </w:tcPr>
          <w:p w14:paraId="5C991722">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服务内容</w:t>
            </w:r>
          </w:p>
        </w:tc>
        <w:tc>
          <w:tcPr>
            <w:tcW w:w="5605" w:type="dxa"/>
            <w:noWrap w:val="0"/>
            <w:vAlign w:val="center"/>
          </w:tcPr>
          <w:p w14:paraId="1D0D3501">
            <w:pPr>
              <w:tabs>
                <w:tab w:val="left" w:pos="700"/>
              </w:tabs>
              <w:spacing w:line="400" w:lineRule="exact"/>
              <w:rPr>
                <w:rFonts w:hint="eastAsia" w:ascii="仿宋" w:hAnsi="仿宋" w:eastAsia="仿宋" w:cs="仿宋"/>
                <w:sz w:val="24"/>
                <w:szCs w:val="24"/>
              </w:rPr>
            </w:pPr>
            <w:r>
              <w:rPr>
                <w:rFonts w:hint="eastAsia" w:ascii="仿宋" w:hAnsi="仿宋" w:eastAsia="仿宋" w:cs="仿宋"/>
                <w:sz w:val="24"/>
                <w:szCs w:val="24"/>
              </w:rPr>
              <w:t>本合同服务内容为：按照招标采购需求的相关要求执行。</w:t>
            </w:r>
          </w:p>
        </w:tc>
      </w:tr>
      <w:tr w14:paraId="324ADFE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518" w:hRule="atLeast"/>
          <w:jc w:val="center"/>
        </w:trPr>
        <w:tc>
          <w:tcPr>
            <w:tcW w:w="945" w:type="dxa"/>
            <w:noWrap w:val="0"/>
            <w:vAlign w:val="center"/>
          </w:tcPr>
          <w:p w14:paraId="0669BE8A">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9</w:t>
            </w:r>
          </w:p>
        </w:tc>
        <w:tc>
          <w:tcPr>
            <w:tcW w:w="2950" w:type="dxa"/>
            <w:gridSpan w:val="2"/>
            <w:noWrap w:val="0"/>
            <w:vAlign w:val="center"/>
          </w:tcPr>
          <w:p w14:paraId="53570312">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合同付款</w:t>
            </w:r>
          </w:p>
        </w:tc>
        <w:tc>
          <w:tcPr>
            <w:tcW w:w="5605" w:type="dxa"/>
            <w:noWrap w:val="0"/>
            <w:vAlign w:val="center"/>
          </w:tcPr>
          <w:p w14:paraId="7BC57C9A">
            <w:pPr>
              <w:tabs>
                <w:tab w:val="left" w:pos="700"/>
              </w:tabs>
              <w:spacing w:line="400" w:lineRule="exact"/>
              <w:rPr>
                <w:rFonts w:hint="eastAsia" w:ascii="仿宋" w:hAnsi="仿宋" w:eastAsia="仿宋" w:cs="仿宋"/>
                <w:sz w:val="24"/>
                <w:szCs w:val="24"/>
              </w:rPr>
            </w:pPr>
            <w:r>
              <w:rPr>
                <w:rFonts w:hint="eastAsia" w:ascii="仿宋" w:hAnsi="仿宋" w:eastAsia="仿宋" w:cs="仿宋"/>
                <w:sz w:val="24"/>
                <w:szCs w:val="24"/>
              </w:rPr>
              <w:t>合同以人民币结算，付款方式：本项目于每年7月和12月分两次按实际发生工作量及中标</w:t>
            </w:r>
            <w:r>
              <w:rPr>
                <w:rFonts w:hint="eastAsia" w:ascii="仿宋" w:hAnsi="仿宋" w:eastAsia="仿宋" w:cs="仿宋"/>
                <w:sz w:val="24"/>
                <w:szCs w:val="24"/>
                <w:lang w:val="en-US" w:eastAsia="zh-CN"/>
              </w:rPr>
              <w:t>价</w:t>
            </w:r>
            <w:r>
              <w:rPr>
                <w:rFonts w:hint="eastAsia" w:ascii="仿宋" w:hAnsi="仿宋" w:eastAsia="仿宋" w:cs="仿宋"/>
                <w:sz w:val="24"/>
                <w:szCs w:val="24"/>
              </w:rPr>
              <w:t>结算。每次支付前，乙方应提供符合甲方要求的发票和付款结算资料。</w:t>
            </w:r>
          </w:p>
        </w:tc>
      </w:tr>
      <w:tr w14:paraId="4F231E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71" w:hRule="atLeast"/>
          <w:jc w:val="center"/>
        </w:trPr>
        <w:tc>
          <w:tcPr>
            <w:tcW w:w="945" w:type="dxa"/>
            <w:noWrap w:val="0"/>
            <w:vAlign w:val="center"/>
          </w:tcPr>
          <w:p w14:paraId="574B8F4F">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11</w:t>
            </w:r>
          </w:p>
        </w:tc>
        <w:tc>
          <w:tcPr>
            <w:tcW w:w="2950" w:type="dxa"/>
            <w:gridSpan w:val="2"/>
            <w:noWrap w:val="0"/>
            <w:vAlign w:val="center"/>
          </w:tcPr>
          <w:p w14:paraId="796B9F99">
            <w:pPr>
              <w:pStyle w:val="299"/>
              <w:widowControl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合同履行期限</w:t>
            </w:r>
          </w:p>
        </w:tc>
        <w:tc>
          <w:tcPr>
            <w:tcW w:w="5605" w:type="dxa"/>
            <w:noWrap w:val="0"/>
            <w:vAlign w:val="center"/>
          </w:tcPr>
          <w:p w14:paraId="4B14C80B">
            <w:pPr>
              <w:tabs>
                <w:tab w:val="left" w:pos="700"/>
              </w:tabs>
              <w:spacing w:line="400" w:lineRule="exact"/>
              <w:rPr>
                <w:rFonts w:hint="eastAsia" w:ascii="仿宋" w:hAnsi="仿宋" w:eastAsia="仿宋" w:cs="仿宋"/>
                <w:sz w:val="24"/>
                <w:szCs w:val="24"/>
              </w:rPr>
            </w:pPr>
            <w:r>
              <w:rPr>
                <w:rFonts w:hint="eastAsia" w:ascii="仿宋" w:hAnsi="仿宋" w:eastAsia="仿宋" w:cs="仿宋"/>
                <w:sz w:val="24"/>
                <w:szCs w:val="24"/>
              </w:rPr>
              <w:t>合同签订之日起</w:t>
            </w:r>
            <w:r>
              <w:rPr>
                <w:rFonts w:hint="eastAsia" w:ascii="仿宋" w:hAnsi="仿宋" w:eastAsia="仿宋" w:cs="仿宋"/>
                <w:sz w:val="24"/>
                <w:szCs w:val="24"/>
                <w:lang w:val="en-US" w:eastAsia="zh-CN"/>
              </w:rPr>
              <w:t>二</w:t>
            </w:r>
            <w:r>
              <w:rPr>
                <w:rFonts w:hint="eastAsia" w:ascii="仿宋" w:hAnsi="仿宋" w:eastAsia="仿宋" w:cs="仿宋"/>
                <w:sz w:val="24"/>
                <w:szCs w:val="24"/>
              </w:rPr>
              <w:t>年。合同一年一签，乙方如能达到甲方的服务要求，次年可续签合同，最多续签</w:t>
            </w:r>
            <w:r>
              <w:rPr>
                <w:rFonts w:hint="eastAsia" w:ascii="仿宋" w:hAnsi="仿宋" w:eastAsia="仿宋" w:cs="仿宋"/>
                <w:sz w:val="24"/>
                <w:szCs w:val="24"/>
                <w:lang w:val="en-US" w:eastAsia="zh-CN"/>
              </w:rPr>
              <w:t>一</w:t>
            </w:r>
            <w:r>
              <w:rPr>
                <w:rFonts w:hint="eastAsia" w:ascii="仿宋" w:hAnsi="仿宋" w:eastAsia="仿宋" w:cs="仿宋"/>
                <w:sz w:val="24"/>
                <w:szCs w:val="24"/>
              </w:rPr>
              <w:t xml:space="preserve">次。 </w:t>
            </w:r>
          </w:p>
        </w:tc>
      </w:tr>
      <w:tr w14:paraId="065BF0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43" w:hRule="atLeast"/>
          <w:jc w:val="center"/>
        </w:trPr>
        <w:tc>
          <w:tcPr>
            <w:tcW w:w="945" w:type="dxa"/>
            <w:noWrap w:val="0"/>
            <w:vAlign w:val="center"/>
          </w:tcPr>
          <w:p w14:paraId="59E1901E">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12</w:t>
            </w:r>
          </w:p>
        </w:tc>
        <w:tc>
          <w:tcPr>
            <w:tcW w:w="2950" w:type="dxa"/>
            <w:gridSpan w:val="2"/>
            <w:noWrap w:val="0"/>
            <w:vAlign w:val="center"/>
          </w:tcPr>
          <w:p w14:paraId="37E9AC63">
            <w:pPr>
              <w:pStyle w:val="299"/>
              <w:widowControl w:val="0"/>
              <w:spacing w:line="360" w:lineRule="auto"/>
              <w:jc w:val="center"/>
              <w:rPr>
                <w:rFonts w:hint="eastAsia" w:ascii="仿宋" w:hAnsi="仿宋" w:eastAsia="仿宋" w:cs="仿宋"/>
                <w:sz w:val="24"/>
                <w:szCs w:val="24"/>
                <w:highlight w:val="yellow"/>
                <w:lang w:val="en"/>
              </w:rPr>
            </w:pPr>
            <w:r>
              <w:rPr>
                <w:rFonts w:hint="eastAsia" w:ascii="仿宋" w:hAnsi="仿宋" w:eastAsia="仿宋" w:cs="仿宋"/>
                <w:sz w:val="24"/>
                <w:szCs w:val="24"/>
                <w:highlight w:val="none"/>
              </w:rPr>
              <w:t>项目质量保障期（服务期）</w:t>
            </w:r>
          </w:p>
        </w:tc>
        <w:tc>
          <w:tcPr>
            <w:tcW w:w="5605" w:type="dxa"/>
            <w:noWrap w:val="0"/>
            <w:vAlign w:val="center"/>
          </w:tcPr>
          <w:p w14:paraId="69A77E9F">
            <w:pPr>
              <w:tabs>
                <w:tab w:val="left" w:pos="700"/>
              </w:tabs>
              <w:spacing w:line="400" w:lineRule="exact"/>
              <w:rPr>
                <w:rFonts w:hint="eastAsia" w:ascii="仿宋" w:hAnsi="仿宋" w:eastAsia="仿宋" w:cs="仿宋"/>
                <w:sz w:val="24"/>
                <w:szCs w:val="24"/>
                <w:highlight w:val="yellow"/>
              </w:rPr>
            </w:pPr>
            <w:r>
              <w:rPr>
                <w:rFonts w:hint="eastAsia" w:ascii="仿宋" w:hAnsi="仿宋" w:eastAsia="仿宋" w:cs="仿宋"/>
                <w:sz w:val="24"/>
                <w:szCs w:val="24"/>
              </w:rPr>
              <w:t>合同签订之日起</w:t>
            </w:r>
            <w:r>
              <w:rPr>
                <w:rFonts w:hint="eastAsia" w:ascii="仿宋" w:hAnsi="仿宋" w:eastAsia="仿宋" w:cs="仿宋"/>
                <w:sz w:val="24"/>
                <w:szCs w:val="24"/>
                <w:lang w:val="en-US" w:eastAsia="zh-CN"/>
              </w:rPr>
              <w:t>二</w:t>
            </w:r>
            <w:r>
              <w:rPr>
                <w:rFonts w:hint="eastAsia" w:ascii="仿宋" w:hAnsi="仿宋" w:eastAsia="仿宋" w:cs="仿宋"/>
                <w:sz w:val="24"/>
                <w:szCs w:val="24"/>
              </w:rPr>
              <w:t>年。合同一年一签，乙方如能达到甲方的服务要求，次年可续签合同，最多续签</w:t>
            </w:r>
            <w:r>
              <w:rPr>
                <w:rFonts w:hint="eastAsia" w:ascii="仿宋" w:hAnsi="仿宋" w:eastAsia="仿宋" w:cs="仿宋"/>
                <w:sz w:val="24"/>
                <w:szCs w:val="24"/>
                <w:lang w:val="en-US" w:eastAsia="zh-CN"/>
              </w:rPr>
              <w:t>一</w:t>
            </w:r>
            <w:r>
              <w:rPr>
                <w:rFonts w:hint="eastAsia" w:ascii="仿宋" w:hAnsi="仿宋" w:eastAsia="仿宋" w:cs="仿宋"/>
                <w:sz w:val="24"/>
                <w:szCs w:val="24"/>
              </w:rPr>
              <w:t xml:space="preserve">次。 </w:t>
            </w:r>
          </w:p>
        </w:tc>
      </w:tr>
      <w:tr w14:paraId="3B1436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33" w:hRule="atLeast"/>
          <w:jc w:val="center"/>
        </w:trPr>
        <w:tc>
          <w:tcPr>
            <w:tcW w:w="945" w:type="dxa"/>
            <w:noWrap w:val="0"/>
            <w:vAlign w:val="center"/>
          </w:tcPr>
          <w:p w14:paraId="7B0ED4BD">
            <w:pPr>
              <w:tabs>
                <w:tab w:val="left" w:pos="700"/>
              </w:tabs>
              <w:jc w:val="center"/>
              <w:rPr>
                <w:rFonts w:hint="eastAsia" w:ascii="仿宋" w:hAnsi="仿宋" w:eastAsia="仿宋" w:cs="仿宋"/>
                <w:sz w:val="24"/>
                <w:szCs w:val="24"/>
              </w:rPr>
            </w:pPr>
            <w:r>
              <w:rPr>
                <w:rFonts w:hint="eastAsia" w:ascii="仿宋" w:hAnsi="仿宋" w:eastAsia="仿宋" w:cs="仿宋"/>
                <w:sz w:val="24"/>
                <w:szCs w:val="24"/>
              </w:rPr>
              <w:t>13</w:t>
            </w:r>
          </w:p>
        </w:tc>
        <w:tc>
          <w:tcPr>
            <w:tcW w:w="2950" w:type="dxa"/>
            <w:gridSpan w:val="2"/>
            <w:noWrap w:val="0"/>
            <w:vAlign w:val="center"/>
          </w:tcPr>
          <w:p w14:paraId="370791A0">
            <w:pPr>
              <w:pStyle w:val="299"/>
              <w:widowControl w:val="0"/>
              <w:spacing w:line="360" w:lineRule="auto"/>
              <w:jc w:val="center"/>
              <w:rPr>
                <w:rFonts w:hint="eastAsia" w:ascii="仿宋" w:hAnsi="仿宋" w:eastAsia="仿宋" w:cs="仿宋"/>
                <w:sz w:val="24"/>
                <w:szCs w:val="24"/>
              </w:rPr>
            </w:pPr>
            <w:r>
              <w:rPr>
                <w:rFonts w:hint="eastAsia" w:ascii="仿宋" w:hAnsi="仿宋" w:eastAsia="仿宋" w:cs="仿宋"/>
                <w:sz w:val="24"/>
                <w:szCs w:val="24"/>
              </w:rPr>
              <w:t>合同履约地点</w:t>
            </w:r>
          </w:p>
        </w:tc>
        <w:tc>
          <w:tcPr>
            <w:tcW w:w="5605" w:type="dxa"/>
            <w:noWrap w:val="0"/>
            <w:vAlign w:val="center"/>
          </w:tcPr>
          <w:p w14:paraId="22F28C7E">
            <w:pPr>
              <w:tabs>
                <w:tab w:val="left" w:pos="700"/>
              </w:tabs>
              <w:spacing w:line="400" w:lineRule="exact"/>
              <w:rPr>
                <w:rFonts w:hint="eastAsia" w:ascii="仿宋" w:hAnsi="仿宋" w:eastAsia="仿宋" w:cs="仿宋"/>
                <w:sz w:val="24"/>
                <w:szCs w:val="24"/>
              </w:rPr>
            </w:pPr>
            <w:r>
              <w:rPr>
                <w:rFonts w:hint="eastAsia" w:ascii="仿宋" w:hAnsi="仿宋" w:eastAsia="仿宋" w:cs="仿宋"/>
                <w:sz w:val="24"/>
                <w:szCs w:val="24"/>
                <w:lang w:eastAsia="zh-CN"/>
              </w:rPr>
              <w:t>江苏盱眙农村商业银行股份有限公司</w:t>
            </w:r>
            <w:r>
              <w:rPr>
                <w:rFonts w:hint="eastAsia" w:ascii="仿宋" w:hAnsi="仿宋" w:eastAsia="仿宋" w:cs="仿宋"/>
                <w:sz w:val="24"/>
                <w:szCs w:val="24"/>
              </w:rPr>
              <w:t>指定地点。</w:t>
            </w:r>
          </w:p>
        </w:tc>
      </w:tr>
    </w:tbl>
    <w:p w14:paraId="3D17BB19">
      <w:pPr>
        <w:tabs>
          <w:tab w:val="left" w:pos="700"/>
        </w:tabs>
        <w:spacing w:line="460" w:lineRule="exact"/>
        <w:jc w:val="center"/>
        <w:rPr>
          <w:rFonts w:hint="eastAsia" w:ascii="仿宋" w:hAnsi="仿宋" w:eastAsia="仿宋" w:cs="仿宋"/>
          <w:b/>
          <w:sz w:val="28"/>
          <w:szCs w:val="28"/>
        </w:rPr>
      </w:pPr>
      <w:r>
        <w:rPr>
          <w:rFonts w:hint="eastAsia" w:ascii="仿宋" w:hAnsi="仿宋" w:eastAsia="仿宋" w:cs="仿宋"/>
          <w:b/>
          <w:sz w:val="28"/>
          <w:szCs w:val="28"/>
        </w:rPr>
        <w:br w:type="page" w:clear="all"/>
      </w:r>
      <w:r>
        <w:rPr>
          <w:rFonts w:hint="eastAsia" w:ascii="仿宋" w:hAnsi="仿宋" w:eastAsia="仿宋" w:cs="仿宋"/>
          <w:b/>
          <w:sz w:val="32"/>
          <w:szCs w:val="32"/>
        </w:rPr>
        <w:t>一、合  同</w:t>
      </w:r>
    </w:p>
    <w:p w14:paraId="5261D3AC">
      <w:pPr>
        <w:tabs>
          <w:tab w:val="left" w:pos="70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lang w:eastAsia="zh-CN"/>
        </w:rPr>
        <w:t>江苏盱眙农村商业银行股份有限公司</w:t>
      </w:r>
      <w:r>
        <w:rPr>
          <w:rFonts w:hint="eastAsia" w:ascii="仿宋" w:hAnsi="仿宋" w:eastAsia="仿宋" w:cs="仿宋"/>
          <w:sz w:val="28"/>
          <w:szCs w:val="28"/>
        </w:rPr>
        <w:t>（以下简称“甲方”）通过</w:t>
      </w:r>
      <w:r>
        <w:rPr>
          <w:rFonts w:hint="eastAsia" w:ascii="仿宋" w:hAnsi="仿宋" w:eastAsia="仿宋" w:cs="仿宋"/>
          <w:sz w:val="28"/>
          <w:szCs w:val="28"/>
          <w:u w:val="single"/>
          <w:lang w:val="en-US" w:eastAsia="zh-CN"/>
        </w:rPr>
        <w:t>竞争性磋商</w:t>
      </w:r>
      <w:r>
        <w:rPr>
          <w:rFonts w:hint="eastAsia" w:ascii="仿宋" w:hAnsi="仿宋" w:eastAsia="仿宋" w:cs="仿宋"/>
          <w:sz w:val="28"/>
          <w:szCs w:val="28"/>
        </w:rPr>
        <w:t>方式采购，确定</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 xml:space="preserve">   </w:t>
      </w:r>
      <w:r>
        <w:rPr>
          <w:rFonts w:hint="eastAsia" w:ascii="仿宋" w:hAnsi="仿宋" w:eastAsia="仿宋" w:cs="仿宋"/>
          <w:sz w:val="28"/>
          <w:szCs w:val="28"/>
        </w:rPr>
        <w:t>公司（以下简称“乙方”）为</w:t>
      </w:r>
      <w:r>
        <w:rPr>
          <w:rFonts w:hint="eastAsia" w:ascii="仿宋" w:hAnsi="仿宋" w:eastAsia="仿宋" w:cs="仿宋"/>
          <w:sz w:val="28"/>
          <w:szCs w:val="28"/>
          <w:u w:val="single"/>
        </w:rPr>
        <w:t>《</w:t>
      </w:r>
      <w:r>
        <w:rPr>
          <w:rFonts w:hint="eastAsia" w:ascii="仿宋" w:hAnsi="仿宋" w:eastAsia="仿宋" w:cs="仿宋"/>
          <w:sz w:val="28"/>
          <w:szCs w:val="28"/>
          <w:u w:val="single"/>
          <w:lang w:eastAsia="zh-CN"/>
        </w:rPr>
        <w:t>江苏盱眙农村商业银行不动产抵押及其他抵质押交易价格评估服务项目</w:t>
      </w:r>
      <w:r>
        <w:rPr>
          <w:rFonts w:hint="eastAsia" w:ascii="仿宋" w:hAnsi="仿宋" w:eastAsia="仿宋" w:cs="仿宋"/>
          <w:sz w:val="28"/>
          <w:szCs w:val="28"/>
          <w:u w:val="single"/>
        </w:rPr>
        <w:t>》</w:t>
      </w:r>
      <w:r>
        <w:rPr>
          <w:rFonts w:hint="eastAsia" w:ascii="仿宋" w:hAnsi="仿宋" w:eastAsia="仿宋" w:cs="仿宋"/>
          <w:sz w:val="28"/>
          <w:szCs w:val="28"/>
        </w:rPr>
        <w:t>中标（成交）供应商。甲乙双方同意按照该项目招标（采购）文件约定的内容，签署</w:t>
      </w:r>
      <w:r>
        <w:rPr>
          <w:rFonts w:hint="eastAsia" w:ascii="仿宋" w:hAnsi="仿宋" w:eastAsia="仿宋" w:cs="仿宋"/>
          <w:sz w:val="28"/>
          <w:szCs w:val="28"/>
          <w:u w:val="single"/>
        </w:rPr>
        <w:t>《</w:t>
      </w:r>
      <w:r>
        <w:rPr>
          <w:rFonts w:hint="eastAsia" w:ascii="仿宋" w:hAnsi="仿宋" w:eastAsia="仿宋" w:cs="仿宋"/>
          <w:sz w:val="28"/>
          <w:szCs w:val="28"/>
          <w:u w:val="single"/>
          <w:lang w:eastAsia="zh-CN"/>
        </w:rPr>
        <w:t>江苏盱眙农村商业银行不动产抵押及其他抵质押交易价格评估服务项目</w:t>
      </w:r>
      <w:r>
        <w:rPr>
          <w:rFonts w:hint="eastAsia" w:ascii="仿宋" w:hAnsi="仿宋" w:eastAsia="仿宋" w:cs="仿宋"/>
          <w:sz w:val="28"/>
          <w:szCs w:val="28"/>
          <w:u w:val="single"/>
        </w:rPr>
        <w:t>合同书》</w:t>
      </w:r>
      <w:r>
        <w:rPr>
          <w:rFonts w:hint="eastAsia" w:ascii="仿宋" w:hAnsi="仿宋" w:eastAsia="仿宋" w:cs="仿宋"/>
          <w:sz w:val="28"/>
          <w:szCs w:val="28"/>
        </w:rPr>
        <w:t>（合同编号：  ，以下简称“合同”)。</w:t>
      </w:r>
    </w:p>
    <w:p w14:paraId="19813A2D">
      <w:pPr>
        <w:tabs>
          <w:tab w:val="left" w:pos="700"/>
        </w:tabs>
        <w:spacing w:line="520" w:lineRule="exact"/>
        <w:ind w:firstLine="562"/>
        <w:rPr>
          <w:rFonts w:hint="eastAsia" w:ascii="仿宋" w:hAnsi="仿宋" w:eastAsia="仿宋" w:cs="仿宋"/>
          <w:b/>
          <w:bCs/>
          <w:sz w:val="28"/>
          <w:szCs w:val="28"/>
        </w:rPr>
      </w:pPr>
      <w:r>
        <w:rPr>
          <w:rFonts w:hint="eastAsia" w:ascii="仿宋" w:hAnsi="仿宋" w:eastAsia="仿宋" w:cs="仿宋"/>
          <w:b/>
          <w:bCs/>
          <w:sz w:val="28"/>
          <w:szCs w:val="28"/>
        </w:rPr>
        <w:t>1. 合同文件</w:t>
      </w:r>
    </w:p>
    <w:p w14:paraId="51BADD84">
      <w:pPr>
        <w:tabs>
          <w:tab w:val="left" w:pos="70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本合同所附下列文件是构成本合同不可分割的部分：</w:t>
      </w:r>
    </w:p>
    <w:p w14:paraId="71F5448C">
      <w:pPr>
        <w:tabs>
          <w:tab w:val="left" w:pos="70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（1）合同通用条款；</w:t>
      </w:r>
    </w:p>
    <w:p w14:paraId="0F4460B4">
      <w:pPr>
        <w:tabs>
          <w:tab w:val="left" w:pos="70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（2）报价表（总报价表和分项报价表）；</w:t>
      </w:r>
    </w:p>
    <w:p w14:paraId="2CF29376">
      <w:pPr>
        <w:tabs>
          <w:tab w:val="left" w:pos="70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（3）招标（采购）文件；</w:t>
      </w:r>
    </w:p>
    <w:p w14:paraId="0E77E15F">
      <w:pPr>
        <w:tabs>
          <w:tab w:val="left" w:pos="70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（4）投标（响应）文件。</w:t>
      </w:r>
    </w:p>
    <w:p w14:paraId="4E2B639D">
      <w:pPr>
        <w:tabs>
          <w:tab w:val="left" w:pos="700"/>
        </w:tabs>
        <w:spacing w:line="520" w:lineRule="exact"/>
        <w:ind w:firstLine="562"/>
        <w:rPr>
          <w:rFonts w:hint="eastAsia" w:ascii="仿宋" w:hAnsi="仿宋" w:eastAsia="仿宋" w:cs="仿宋"/>
          <w:b/>
          <w:bCs/>
          <w:sz w:val="28"/>
          <w:szCs w:val="28"/>
        </w:rPr>
      </w:pPr>
      <w:r>
        <w:rPr>
          <w:rFonts w:hint="eastAsia" w:ascii="仿宋" w:hAnsi="仿宋" w:eastAsia="仿宋" w:cs="仿宋"/>
          <w:b/>
          <w:bCs/>
          <w:sz w:val="28"/>
          <w:szCs w:val="28"/>
        </w:rPr>
        <w:t>2. 合同范围和条件</w:t>
      </w:r>
    </w:p>
    <w:p w14:paraId="10E98CCC">
      <w:pPr>
        <w:tabs>
          <w:tab w:val="left" w:pos="70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本合同的范围和条件应与上述合同文件的规定相一致。</w:t>
      </w:r>
    </w:p>
    <w:p w14:paraId="37380321">
      <w:pPr>
        <w:tabs>
          <w:tab w:val="left" w:pos="700"/>
        </w:tabs>
        <w:spacing w:line="520" w:lineRule="exact"/>
        <w:ind w:firstLine="562"/>
        <w:rPr>
          <w:rFonts w:hint="eastAsia" w:ascii="仿宋" w:hAnsi="仿宋" w:eastAsia="仿宋" w:cs="仿宋"/>
          <w:b/>
          <w:bCs/>
          <w:sz w:val="28"/>
          <w:szCs w:val="28"/>
        </w:rPr>
      </w:pPr>
      <w:r>
        <w:rPr>
          <w:rFonts w:hint="eastAsia" w:ascii="仿宋" w:hAnsi="仿宋" w:eastAsia="仿宋" w:cs="仿宋"/>
          <w:b/>
          <w:bCs/>
          <w:sz w:val="28"/>
          <w:szCs w:val="28"/>
        </w:rPr>
        <w:t>3. 合同费率及金额</w:t>
      </w:r>
    </w:p>
    <w:p w14:paraId="3E4BD682">
      <w:pPr>
        <w:tabs>
          <w:tab w:val="left" w:pos="700"/>
        </w:tabs>
        <w:spacing w:line="520" w:lineRule="exact"/>
        <w:ind w:firstLine="562"/>
        <w:rPr>
          <w:rFonts w:hint="eastAsia" w:ascii="仿宋" w:hAnsi="仿宋" w:eastAsia="仿宋" w:cs="仿宋"/>
          <w:b/>
          <w:bCs/>
          <w:color w:val="000000"/>
          <w:sz w:val="28"/>
          <w:szCs w:val="28"/>
          <w:highlight w:val="none"/>
        </w:rPr>
      </w:pPr>
      <w:r>
        <w:rPr>
          <w:rFonts w:hint="eastAsia" w:ascii="仿宋" w:hAnsi="仿宋" w:eastAsia="仿宋" w:cs="仿宋"/>
          <w:b/>
          <w:bCs/>
          <w:color w:val="000000"/>
          <w:sz w:val="28"/>
          <w:szCs w:val="28"/>
          <w:highlight w:val="none"/>
          <w:lang w:val="en"/>
        </w:rPr>
        <w:t>4.</w:t>
      </w:r>
      <w:r>
        <w:rPr>
          <w:rFonts w:hint="eastAsia" w:ascii="仿宋" w:hAnsi="仿宋" w:eastAsia="仿宋" w:cs="仿宋"/>
          <w:b/>
          <w:bCs/>
          <w:color w:val="000000"/>
          <w:sz w:val="28"/>
          <w:szCs w:val="28"/>
          <w:highlight w:val="none"/>
        </w:rPr>
        <w:t>付款条件</w:t>
      </w:r>
    </w:p>
    <w:p w14:paraId="04C21362">
      <w:pPr>
        <w:tabs>
          <w:tab w:val="left" w:pos="700"/>
        </w:tabs>
        <w:spacing w:line="520" w:lineRule="exact"/>
        <w:ind w:firstLine="560"/>
        <w:rPr>
          <w:rFonts w:hint="eastAsia" w:ascii="仿宋" w:hAnsi="仿宋" w:eastAsia="仿宋" w:cs="仿宋"/>
          <w:color w:val="0000FF"/>
          <w:sz w:val="28"/>
          <w:szCs w:val="28"/>
          <w:highlight w:val="none"/>
        </w:rPr>
      </w:pPr>
      <w:r>
        <w:rPr>
          <w:rFonts w:hint="eastAsia" w:ascii="仿宋" w:hAnsi="仿宋" w:eastAsia="仿宋" w:cs="仿宋"/>
          <w:color w:val="0000FF"/>
          <w:sz w:val="28"/>
          <w:szCs w:val="28"/>
          <w:highlight w:val="none"/>
        </w:rPr>
        <w:t>本项目于每年7月和12月分两次按实际发生工作量及中标</w:t>
      </w:r>
      <w:r>
        <w:rPr>
          <w:rFonts w:hint="eastAsia" w:ascii="仿宋" w:hAnsi="仿宋" w:eastAsia="仿宋" w:cs="仿宋"/>
          <w:color w:val="0000FF"/>
          <w:sz w:val="28"/>
          <w:szCs w:val="28"/>
          <w:highlight w:val="none"/>
          <w:lang w:val="en-US" w:eastAsia="zh-CN"/>
        </w:rPr>
        <w:t>价</w:t>
      </w:r>
      <w:r>
        <w:rPr>
          <w:rFonts w:hint="eastAsia" w:ascii="仿宋" w:hAnsi="仿宋" w:eastAsia="仿宋" w:cs="仿宋"/>
          <w:color w:val="0000FF"/>
          <w:sz w:val="28"/>
          <w:szCs w:val="28"/>
          <w:highlight w:val="none"/>
        </w:rPr>
        <w:t>结算。每次支付前，乙方应提供符合甲方要求的发票和付款结算资料。当年度结算金额不得超过当期合同总预算。</w:t>
      </w:r>
    </w:p>
    <w:p w14:paraId="1F849D92">
      <w:pPr>
        <w:tabs>
          <w:tab w:val="left" w:pos="700"/>
        </w:tabs>
        <w:spacing w:line="520" w:lineRule="exact"/>
        <w:ind w:firstLine="562"/>
        <w:rPr>
          <w:rFonts w:hint="eastAsia" w:ascii="仿宋" w:hAnsi="仿宋" w:eastAsia="仿宋" w:cs="仿宋"/>
          <w:sz w:val="28"/>
          <w:szCs w:val="28"/>
        </w:rPr>
      </w:pPr>
      <w:r>
        <w:rPr>
          <w:rFonts w:hint="eastAsia" w:ascii="仿宋" w:hAnsi="仿宋" w:eastAsia="仿宋" w:cs="仿宋"/>
          <w:b/>
          <w:bCs/>
          <w:sz w:val="28"/>
          <w:szCs w:val="28"/>
        </w:rPr>
        <w:t>5.其他：</w:t>
      </w:r>
      <w:r>
        <w:rPr>
          <w:rFonts w:hint="eastAsia" w:ascii="仿宋" w:hAnsi="仿宋" w:eastAsia="仿宋" w:cs="仿宋"/>
          <w:sz w:val="28"/>
          <w:szCs w:val="28"/>
        </w:rPr>
        <w:t>其余未列明事项均按照招标采购需求的相关要求执行。</w:t>
      </w:r>
    </w:p>
    <w:p w14:paraId="2FD1082F">
      <w:pPr>
        <w:tabs>
          <w:tab w:val="left" w:pos="700"/>
        </w:tabs>
        <w:spacing w:line="520" w:lineRule="exact"/>
        <w:ind w:firstLine="562"/>
        <w:rPr>
          <w:rFonts w:hint="eastAsia" w:ascii="仿宋" w:hAnsi="仿宋" w:eastAsia="仿宋" w:cs="仿宋"/>
          <w:b/>
          <w:bCs/>
          <w:sz w:val="28"/>
          <w:szCs w:val="28"/>
        </w:rPr>
      </w:pPr>
      <w:r>
        <w:rPr>
          <w:rFonts w:hint="eastAsia" w:ascii="仿宋" w:hAnsi="仿宋" w:eastAsia="仿宋" w:cs="仿宋"/>
          <w:b/>
          <w:bCs/>
          <w:sz w:val="28"/>
          <w:szCs w:val="28"/>
        </w:rPr>
        <w:t>6.违约责任：</w:t>
      </w:r>
    </w:p>
    <w:p w14:paraId="5D240A22">
      <w:pPr>
        <w:widowControl/>
        <w:spacing w:line="520" w:lineRule="exact"/>
        <w:ind w:firstLine="560"/>
        <w:jc w:val="left"/>
        <w:rPr>
          <w:rFonts w:hint="eastAsia" w:ascii="仿宋" w:hAnsi="仿宋" w:eastAsia="仿宋" w:cs="仿宋"/>
          <w:sz w:val="28"/>
          <w:szCs w:val="28"/>
        </w:rPr>
      </w:pPr>
      <w:r>
        <w:rPr>
          <w:rFonts w:hint="eastAsia" w:ascii="仿宋" w:hAnsi="仿宋" w:eastAsia="仿宋" w:cs="仿宋"/>
          <w:sz w:val="28"/>
          <w:szCs w:val="28"/>
        </w:rPr>
        <w:t>（1）评估机构未能在委托评估任务书要求的时间内（含同意延长的时间）提交评估报告或受甲方两次书面警告则视为违约。发生违约的，甲方有权责令委托单位将未能在规定时间内完成的项目抽回。</w:t>
      </w:r>
    </w:p>
    <w:p w14:paraId="64A28E5A">
      <w:pPr>
        <w:widowControl/>
        <w:spacing w:line="520" w:lineRule="exact"/>
        <w:ind w:firstLine="560"/>
        <w:jc w:val="left"/>
        <w:rPr>
          <w:rFonts w:hint="eastAsia" w:ascii="仿宋" w:hAnsi="仿宋" w:eastAsia="仿宋" w:cs="仿宋"/>
          <w:sz w:val="28"/>
          <w:szCs w:val="28"/>
        </w:rPr>
      </w:pPr>
      <w:r>
        <w:rPr>
          <w:rFonts w:hint="eastAsia" w:ascii="仿宋" w:hAnsi="仿宋" w:eastAsia="仿宋" w:cs="仿宋"/>
          <w:sz w:val="28"/>
          <w:szCs w:val="28"/>
        </w:rPr>
        <w:t>（2）为了确保项目评估质量，甲方可按照评估操作规程和评估质量控制办法的规定对评估报告进行复审和抽查。对复审金额在1000万元（含1000万元，下同）以上，评估数据与复审数据的相差正负5％（含5%）以上或复审金额在1000万元以下，正负差额绝对值之和在50万元以上的评估项目，除扣减该项目应结评估费用总额的50%外，并予以书面警告；对复审金额在1000万元以上，评估数据与复审数据相差正负8％（含8%）以上或复审金额在1000万元以下，正负差额绝对值之和在100万元以上的评估项目，除扣减该项目全部评估业务费外，暂停其服务；累计两次以上，甲方有权追究违约责任，且因该评估结果差错所导致的少缴税款，由受委托的评估机构承担连带责任。</w:t>
      </w:r>
    </w:p>
    <w:p w14:paraId="2AD1ACB1">
      <w:pPr>
        <w:widowControl/>
        <w:spacing w:line="520" w:lineRule="exact"/>
        <w:ind w:firstLine="560"/>
        <w:jc w:val="left"/>
        <w:rPr>
          <w:rFonts w:hint="eastAsia" w:ascii="仿宋" w:hAnsi="仿宋" w:eastAsia="仿宋" w:cs="仿宋"/>
          <w:sz w:val="28"/>
          <w:szCs w:val="28"/>
        </w:rPr>
      </w:pPr>
      <w:r>
        <w:rPr>
          <w:rFonts w:hint="eastAsia" w:ascii="仿宋" w:hAnsi="仿宋" w:eastAsia="仿宋" w:cs="仿宋"/>
          <w:sz w:val="28"/>
          <w:szCs w:val="28"/>
        </w:rPr>
        <w:t>（3）擅自变更项目评估人员或出现非专业人员参与评估工作时，甲方发出书面警告，两次书面警告则视为违约，违约一次，甲方书面通知可处以违约之日起三个月内暂停其服务；对在评估过程出现将委托业务外包或请非单位正式职工参与评估工作的，甲方有权追究违约责任。</w:t>
      </w:r>
    </w:p>
    <w:p w14:paraId="18912401">
      <w:pPr>
        <w:widowControl/>
        <w:spacing w:line="520" w:lineRule="exact"/>
        <w:ind w:firstLine="560"/>
        <w:jc w:val="left"/>
        <w:rPr>
          <w:rFonts w:hint="eastAsia" w:ascii="仿宋" w:hAnsi="仿宋" w:eastAsia="仿宋" w:cs="仿宋"/>
          <w:sz w:val="28"/>
          <w:szCs w:val="28"/>
        </w:rPr>
      </w:pPr>
      <w:r>
        <w:rPr>
          <w:rFonts w:hint="eastAsia" w:ascii="仿宋" w:hAnsi="仿宋" w:eastAsia="仿宋" w:cs="仿宋"/>
          <w:sz w:val="28"/>
          <w:szCs w:val="28"/>
        </w:rPr>
        <w:t>（4）对甲方复核意见未予落实或对评估重大事项未按规定擅自处理的，甲方发出书面警告，一次书面警告则视为违约，违约一次，甲方在违约之日起暂停其服务；对于达到质量违约规定的，评估机构需同时承担相应违约责任。</w:t>
      </w:r>
    </w:p>
    <w:p w14:paraId="49FCA578">
      <w:pPr>
        <w:widowControl/>
        <w:spacing w:line="520" w:lineRule="exact"/>
        <w:ind w:firstLine="560"/>
        <w:jc w:val="left"/>
        <w:rPr>
          <w:rFonts w:hint="eastAsia" w:ascii="仿宋" w:hAnsi="仿宋" w:eastAsia="仿宋" w:cs="仿宋"/>
          <w:b/>
          <w:bCs/>
          <w:sz w:val="28"/>
          <w:szCs w:val="28"/>
        </w:rPr>
      </w:pPr>
      <w:r>
        <w:rPr>
          <w:rFonts w:hint="eastAsia" w:ascii="仿宋" w:hAnsi="仿宋" w:eastAsia="仿宋" w:cs="仿宋"/>
          <w:sz w:val="28"/>
          <w:szCs w:val="28"/>
        </w:rPr>
        <w:t>（5）接受委托的评估机构应确保质量，按时完成评估工作。评估工作应当严格遵守国家的有关法律、法规、制度规定及有关执业规范要求。评估机构对评估意见的真实性、完整性、可靠性负责。评估机构的评估报告只向甲方提供，不得自行提供给其他单位。对提供不实或内容虚假的评估结果以及自行对外提供评估报告的，由评估机构自行承担责任甲方会按季抽取不定量的评估报告进行复核，判断评估价格是否合理，如评估价格被认定为不合理，因该评估结果差错所导致的少缴税款，由受委托的评估机构承担连带责任。</w:t>
      </w:r>
    </w:p>
    <w:p w14:paraId="74136D15">
      <w:pPr>
        <w:tabs>
          <w:tab w:val="left" w:pos="700"/>
        </w:tabs>
        <w:spacing w:line="520" w:lineRule="exact"/>
        <w:ind w:firstLine="562"/>
        <w:rPr>
          <w:rFonts w:hint="eastAsia" w:ascii="仿宋" w:hAnsi="仿宋" w:eastAsia="仿宋" w:cs="仿宋"/>
          <w:b/>
          <w:bCs/>
          <w:sz w:val="28"/>
          <w:szCs w:val="28"/>
        </w:rPr>
      </w:pPr>
      <w:r>
        <w:rPr>
          <w:rFonts w:hint="eastAsia" w:ascii="仿宋" w:hAnsi="仿宋" w:eastAsia="仿宋" w:cs="仿宋"/>
          <w:b/>
          <w:bCs/>
          <w:sz w:val="28"/>
          <w:szCs w:val="28"/>
        </w:rPr>
        <w:t>7. 合同签订及生效</w:t>
      </w:r>
    </w:p>
    <w:p w14:paraId="752743A0">
      <w:pPr>
        <w:tabs>
          <w:tab w:val="left" w:pos="70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本合同一式</w:t>
      </w:r>
      <w:r>
        <w:rPr>
          <w:rFonts w:hint="eastAsia" w:ascii="仿宋" w:hAnsi="仿宋" w:eastAsia="仿宋" w:cs="仿宋"/>
          <w:sz w:val="28"/>
          <w:szCs w:val="28"/>
          <w:u w:val="single"/>
          <w:lang w:val="en"/>
        </w:rPr>
        <w:t xml:space="preserve">   </w:t>
      </w:r>
      <w:r>
        <w:rPr>
          <w:rFonts w:hint="eastAsia" w:ascii="仿宋" w:hAnsi="仿宋" w:eastAsia="仿宋" w:cs="仿宋"/>
          <w:sz w:val="28"/>
          <w:szCs w:val="28"/>
        </w:rPr>
        <w:t>份，由甲乙双方法定代表人或被授权人签字并盖章后生效。</w:t>
      </w:r>
    </w:p>
    <w:p w14:paraId="250CE43B">
      <w:pPr>
        <w:tabs>
          <w:tab w:val="left" w:pos="70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乙方由法定代表人签订合同的，应提供法定代表人身份证复印件；乙方由被授权人签订合同的，应提供授权委托书和法定代表人及被授权人身份证复印件。</w:t>
      </w:r>
    </w:p>
    <w:p w14:paraId="2437DEEB">
      <w:pPr>
        <w:tabs>
          <w:tab w:val="left" w:pos="700"/>
        </w:tabs>
        <w:spacing w:line="360" w:lineRule="auto"/>
        <w:rPr>
          <w:rFonts w:hint="eastAsia" w:ascii="仿宋" w:hAnsi="仿宋" w:eastAsia="仿宋" w:cs="仿宋"/>
          <w:sz w:val="28"/>
          <w:szCs w:val="28"/>
        </w:rPr>
      </w:pPr>
    </w:p>
    <w:p w14:paraId="551C27A2">
      <w:pPr>
        <w:tabs>
          <w:tab w:val="left" w:pos="700"/>
        </w:tabs>
        <w:spacing w:line="360" w:lineRule="auto"/>
        <w:ind w:firstLine="560"/>
        <w:rPr>
          <w:rFonts w:hint="eastAsia" w:ascii="仿宋" w:hAnsi="仿宋" w:eastAsia="仿宋" w:cs="仿宋"/>
          <w:sz w:val="28"/>
          <w:szCs w:val="28"/>
        </w:rPr>
      </w:pPr>
      <w:r>
        <w:rPr>
          <w:rFonts w:hint="eastAsia" w:ascii="仿宋" w:hAnsi="仿宋" w:eastAsia="仿宋" w:cs="仿宋"/>
          <w:sz w:val="28"/>
          <w:szCs w:val="28"/>
        </w:rPr>
        <w:t>甲方：</w:t>
      </w:r>
      <w:r>
        <w:rPr>
          <w:rFonts w:hint="eastAsia" w:ascii="仿宋" w:hAnsi="仿宋" w:eastAsia="仿宋" w:cs="仿宋"/>
          <w:sz w:val="28"/>
          <w:szCs w:val="28"/>
          <w:lang w:val="en-US" w:eastAsia="zh-CN"/>
        </w:rPr>
        <w:t>江苏盱眙农村商业银行股份有限公司</w:t>
      </w:r>
      <w:r>
        <w:rPr>
          <w:rFonts w:hint="eastAsia" w:ascii="仿宋" w:hAnsi="仿宋" w:eastAsia="仿宋" w:cs="仿宋"/>
          <w:sz w:val="28"/>
          <w:szCs w:val="28"/>
        </w:rPr>
        <w:t xml:space="preserve"> 乙方：</w:t>
      </w:r>
    </w:p>
    <w:p w14:paraId="04E89D1A">
      <w:pPr>
        <w:tabs>
          <w:tab w:val="left" w:pos="700"/>
        </w:tabs>
        <w:spacing w:line="360" w:lineRule="auto"/>
        <w:ind w:firstLine="560"/>
        <w:rPr>
          <w:rFonts w:hint="eastAsia" w:ascii="仿宋" w:hAnsi="仿宋" w:eastAsia="仿宋" w:cs="仿宋"/>
          <w:sz w:val="28"/>
          <w:szCs w:val="28"/>
        </w:rPr>
      </w:pPr>
      <w:r>
        <w:rPr>
          <w:rFonts w:hint="eastAsia" w:ascii="仿宋" w:hAnsi="仿宋" w:eastAsia="仿宋" w:cs="仿宋"/>
          <w:sz w:val="28"/>
          <w:szCs w:val="28"/>
        </w:rPr>
        <w:t xml:space="preserve">签字：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签字：</w:t>
      </w:r>
    </w:p>
    <w:p w14:paraId="7AEA58E5">
      <w:pPr>
        <w:tabs>
          <w:tab w:val="left" w:pos="700"/>
        </w:tabs>
        <w:spacing w:line="360" w:lineRule="auto"/>
        <w:ind w:firstLine="560"/>
        <w:rPr>
          <w:rFonts w:hint="eastAsia" w:ascii="仿宋" w:hAnsi="仿宋" w:eastAsia="仿宋" w:cs="仿宋"/>
          <w:sz w:val="28"/>
          <w:szCs w:val="28"/>
        </w:rPr>
      </w:pPr>
      <w:r>
        <w:rPr>
          <w:rFonts w:hint="eastAsia" w:ascii="仿宋" w:hAnsi="仿宋" w:eastAsia="仿宋" w:cs="仿宋"/>
          <w:sz w:val="28"/>
          <w:szCs w:val="28"/>
        </w:rPr>
        <w:t xml:space="preserve">盖章：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 xml:space="preserve">盖章： </w:t>
      </w:r>
    </w:p>
    <w:p w14:paraId="58A0C43F">
      <w:pPr>
        <w:tabs>
          <w:tab w:val="left" w:pos="700"/>
        </w:tabs>
        <w:spacing w:line="360" w:lineRule="auto"/>
        <w:ind w:firstLine="560"/>
        <w:rPr>
          <w:rFonts w:hint="eastAsia" w:ascii="仿宋" w:hAnsi="仿宋" w:eastAsia="仿宋" w:cs="仿宋"/>
          <w:sz w:val="28"/>
          <w:szCs w:val="28"/>
        </w:rPr>
      </w:pPr>
      <w:r>
        <w:rPr>
          <w:rFonts w:hint="eastAsia" w:ascii="仿宋" w:hAnsi="仿宋" w:eastAsia="仿宋" w:cs="仿宋"/>
          <w:sz w:val="28"/>
          <w:szCs w:val="28"/>
        </w:rPr>
        <w:t xml:space="preserve">日期：    年    月    日           </w:t>
      </w:r>
      <w:r>
        <w:rPr>
          <w:rFonts w:hint="eastAsia" w:ascii="仿宋" w:hAnsi="仿宋" w:eastAsia="仿宋" w:cs="仿宋"/>
          <w:sz w:val="28"/>
          <w:szCs w:val="28"/>
          <w:lang w:val="en-US" w:eastAsia="zh-CN"/>
        </w:rPr>
        <w:t xml:space="preserve">    </w:t>
      </w:r>
      <w:r>
        <w:rPr>
          <w:rFonts w:hint="eastAsia" w:ascii="仿宋" w:hAnsi="仿宋" w:eastAsia="仿宋" w:cs="仿宋"/>
          <w:sz w:val="28"/>
          <w:szCs w:val="28"/>
        </w:rPr>
        <w:t>日期：   年  月   日</w:t>
      </w:r>
    </w:p>
    <w:p w14:paraId="6C09B327">
      <w:pPr>
        <w:tabs>
          <w:tab w:val="left" w:pos="700"/>
        </w:tabs>
        <w:spacing w:line="460" w:lineRule="exact"/>
        <w:jc w:val="center"/>
        <w:rPr>
          <w:rFonts w:hint="eastAsia" w:ascii="仿宋" w:hAnsi="仿宋" w:eastAsia="仿宋" w:cs="仿宋"/>
          <w:b/>
          <w:sz w:val="28"/>
          <w:szCs w:val="28"/>
        </w:rPr>
      </w:pPr>
      <w:r>
        <w:rPr>
          <w:rFonts w:hint="eastAsia" w:ascii="仿宋" w:hAnsi="仿宋" w:eastAsia="仿宋" w:cs="仿宋"/>
          <w:sz w:val="28"/>
          <w:szCs w:val="28"/>
        </w:rPr>
        <w:br w:type="page" w:clear="all"/>
      </w:r>
      <w:r>
        <w:rPr>
          <w:rFonts w:hint="eastAsia" w:ascii="仿宋" w:hAnsi="仿宋" w:eastAsia="仿宋" w:cs="仿宋"/>
          <w:b/>
          <w:sz w:val="32"/>
          <w:szCs w:val="32"/>
        </w:rPr>
        <w:t>二   合 同 通 用 条 款</w:t>
      </w:r>
    </w:p>
    <w:p w14:paraId="1D47A59D">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1. 定义</w:t>
      </w:r>
    </w:p>
    <w:p w14:paraId="70BFDA70">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本合同下列术语应解释为：</w:t>
      </w:r>
    </w:p>
    <w:p w14:paraId="6189EB16">
      <w:pPr>
        <w:tabs>
          <w:tab w:val="left" w:pos="70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1.1“甲方”是指</w:t>
      </w:r>
      <w:r>
        <w:rPr>
          <w:rFonts w:hint="eastAsia" w:ascii="仿宋" w:hAnsi="仿宋" w:eastAsia="仿宋" w:cs="仿宋"/>
          <w:sz w:val="28"/>
          <w:szCs w:val="28"/>
          <w:lang w:eastAsia="zh-CN"/>
        </w:rPr>
        <w:t>江苏盱眙农村商业银行股份有限公司</w:t>
      </w:r>
      <w:r>
        <w:rPr>
          <w:rFonts w:hint="eastAsia" w:ascii="仿宋" w:hAnsi="仿宋" w:eastAsia="仿宋" w:cs="仿宋"/>
          <w:sz w:val="28"/>
          <w:szCs w:val="28"/>
        </w:rPr>
        <w:t>。</w:t>
      </w:r>
    </w:p>
    <w:p w14:paraId="43EFA078">
      <w:pPr>
        <w:tabs>
          <w:tab w:val="left" w:pos="70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1.2“乙方”</w:t>
      </w:r>
      <w:r>
        <w:rPr>
          <w:rFonts w:hint="eastAsia" w:ascii="仿宋" w:hAnsi="仿宋" w:eastAsia="仿宋" w:cs="仿宋"/>
          <w:sz w:val="28"/>
          <w:szCs w:val="28"/>
          <w:lang w:val="en-US" w:eastAsia="zh-CN"/>
        </w:rPr>
        <w:t>成交供应商</w:t>
      </w:r>
      <w:r>
        <w:rPr>
          <w:rFonts w:hint="eastAsia" w:ascii="仿宋" w:hAnsi="仿宋" w:eastAsia="仿宋" w:cs="仿宋"/>
          <w:sz w:val="28"/>
          <w:szCs w:val="28"/>
        </w:rPr>
        <w:t>“乙方名称”。</w:t>
      </w:r>
    </w:p>
    <w:p w14:paraId="074854F7">
      <w:pPr>
        <w:tabs>
          <w:tab w:val="left" w:pos="70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1.3 “合同”系指甲乙双方签订的、合同格式中载明的甲乙双方所达成的协议，包括所有的附件、附录和上述文件所提到的构成合同的所有文件。</w:t>
      </w:r>
    </w:p>
    <w:p w14:paraId="1491E5FF">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1.4 “天”除非特别指出，“天”均为自然天。</w:t>
      </w:r>
    </w:p>
    <w:p w14:paraId="03F793F4">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2. 标准</w:t>
      </w:r>
    </w:p>
    <w:p w14:paraId="712C8FB3">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2.1 乙方为甲方交付或提供的服务应符合招标（采购）文件所述的标准，如果没有提及适用标准，则应符合相应的国家标准。这些标准必须是有关机构发布的最新版本的标准。</w:t>
      </w:r>
    </w:p>
    <w:p w14:paraId="252B499B">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2.2 除非技术要求中另有规定，计量单位均采用中华人民共和国法定计量单位。</w:t>
      </w:r>
    </w:p>
    <w:p w14:paraId="72F0EBBA">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3. 服务</w:t>
      </w:r>
    </w:p>
    <w:p w14:paraId="722EC8A8">
      <w:pPr>
        <w:tabs>
          <w:tab w:val="left" w:pos="700"/>
        </w:tabs>
        <w:spacing w:line="520" w:lineRule="exact"/>
        <w:ind w:firstLine="560"/>
        <w:rPr>
          <w:rFonts w:hint="eastAsia" w:ascii="仿宋" w:hAnsi="仿宋" w:eastAsia="仿宋" w:cs="仿宋"/>
          <w:b/>
          <w:sz w:val="28"/>
          <w:szCs w:val="28"/>
        </w:rPr>
      </w:pPr>
      <w:r>
        <w:rPr>
          <w:rFonts w:hint="eastAsia" w:ascii="仿宋" w:hAnsi="仿宋" w:eastAsia="仿宋" w:cs="仿宋"/>
          <w:bCs/>
          <w:sz w:val="28"/>
          <w:szCs w:val="28"/>
        </w:rPr>
        <w:t>3.1 本项目的“服务”见“合同条款前附表”第8项“服务内容”。</w:t>
      </w:r>
    </w:p>
    <w:p w14:paraId="5882631B">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3.2 乙方应保证所提供的服务符合合同规定的要求。如不符时，乙方应负全责并尽快处理解决，由此造成的损失和相关费用由乙方负责，甲方保留终止合同及索赔的权利。</w:t>
      </w:r>
    </w:p>
    <w:p w14:paraId="39A56797">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3.3 乙方应保证通过执行合同中全部方案后，可以取得本合同约定的结果，达到本合同约定的预期目标。对任何情况下出现的问题，应尽快提出解决方案。</w:t>
      </w:r>
    </w:p>
    <w:p w14:paraId="4F4F31AD">
      <w:pPr>
        <w:tabs>
          <w:tab w:val="left" w:pos="0"/>
          <w:tab w:val="left" w:pos="54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3.4 如果乙方提供的服务和解决方案不符合甲方要求，或在规定的时间内没有弥补缺陷，甲方有权采取一切必要的补救措施，由此产生的费用全部由乙方负责。</w:t>
      </w:r>
    </w:p>
    <w:p w14:paraId="75E1E4DB">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3.5 除合同条款另行规定外，伴随服务的费用应含在合同价中，不单独进行支付。</w:t>
      </w:r>
    </w:p>
    <w:p w14:paraId="53AE0CE8">
      <w:pPr>
        <w:tabs>
          <w:tab w:val="left" w:pos="0"/>
          <w:tab w:val="left" w:pos="540"/>
        </w:tabs>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4. 知识产权</w:t>
      </w:r>
    </w:p>
    <w:p w14:paraId="6852953D">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4.1 乙方应保证所提供的服务免受第三方提出侵犯其知识产权（专利权、商标权、软件著作权、版权等）的起诉。</w:t>
      </w:r>
    </w:p>
    <w:p w14:paraId="04FD4351">
      <w:pPr>
        <w:tabs>
          <w:tab w:val="left" w:pos="0"/>
          <w:tab w:val="left" w:pos="54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4.2 甲方对项目实施过程中所产生的所有成果（包括但不限于发明、发现、可运行系统、源代码及相关技术资料、文档等）享有永久使用权、复制权和修改权，其专利申请权、专利权、软件著作权、技术秘密的所有权、使用权、转让权等知识产权归甲方所有。</w:t>
      </w:r>
    </w:p>
    <w:p w14:paraId="32EC2CC0">
      <w:pPr>
        <w:tabs>
          <w:tab w:val="left" w:pos="0"/>
          <w:tab w:val="left" w:pos="540"/>
        </w:tabs>
        <w:spacing w:line="520" w:lineRule="exact"/>
        <w:ind w:firstLine="560"/>
        <w:rPr>
          <w:rFonts w:hint="eastAsia" w:ascii="仿宋" w:hAnsi="仿宋" w:eastAsia="仿宋" w:cs="仿宋"/>
          <w:sz w:val="28"/>
          <w:szCs w:val="28"/>
        </w:rPr>
      </w:pPr>
      <w:r>
        <w:rPr>
          <w:rFonts w:hint="eastAsia" w:ascii="仿宋" w:hAnsi="仿宋" w:eastAsia="仿宋" w:cs="仿宋"/>
          <w:sz w:val="28"/>
          <w:szCs w:val="28"/>
        </w:rPr>
        <w:t>4.3 乙方不得利用本项目实施过程中所产生的成果（包括但不限于发明、发现、可运行系统、源代码及相关技术资料、文档等），另行自行开发本合同业务范围内供纳税人缴费人使用的软件或产品，不得利用开发便利变相收费或搭车收费。</w:t>
      </w:r>
    </w:p>
    <w:p w14:paraId="2022202C">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5. 保密条款</w:t>
      </w:r>
    </w:p>
    <w:p w14:paraId="7137FB77">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5.1 甲乙双方应对在本合同签订或履行过程中所接触的对方信息，包括但不限于知识产权、技术资料、技术诀窍、内部管理及其他相关信息，负有保密义务。</w:t>
      </w:r>
    </w:p>
    <w:p w14:paraId="4AFC17D2">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5.2 乙方在使用甲方为乙方及其工作人员提供的数据、程序、用户名、口令、资料及甲方相关的业务和技术文档，应遵循以下规定：</w:t>
      </w:r>
    </w:p>
    <w:p w14:paraId="36AFFCFD">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 应以审慎态度避免泄漏、公开或传播甲方的信息；</w:t>
      </w:r>
    </w:p>
    <w:p w14:paraId="2B0C0367">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（2） 在开发过程中对数据的处理方式应事先得到甲方的许可；</w:t>
      </w:r>
    </w:p>
    <w:p w14:paraId="7F7A6673">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（3） 未经甲方书面许可，不得对有关信息进行修改、补充、复制；</w:t>
      </w:r>
    </w:p>
    <w:p w14:paraId="1956962F">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（4） 未经甲方书面许可，不得将信息以任何方式（如E-mail）携带出甲方场所；</w:t>
      </w:r>
    </w:p>
    <w:p w14:paraId="5D2365FF">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 xml:space="preserve">（5） 未经甲方书面许可，不得将信息透露给任何其他人； </w:t>
      </w:r>
    </w:p>
    <w:p w14:paraId="2EC1FFAA">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（6） 甲方以书面形式提出的其他保密措施。</w:t>
      </w:r>
    </w:p>
    <w:p w14:paraId="098F35FA">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5.3 保密期限不受合同有效期的限制，在合同有效期结束后，信息接受方仍应承担保密义务，直至该等信息成为公开信息。</w:t>
      </w:r>
    </w:p>
    <w:p w14:paraId="16C76B08">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5.4 甲乙双方如出现泄密行为，泄密方应承担相关的法律责任，包括但是不限于对由此给对方造成的经济损失进行赔偿。</w:t>
      </w:r>
    </w:p>
    <w:p w14:paraId="41E7B79A">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6. 履约验收要求</w:t>
      </w:r>
    </w:p>
    <w:p w14:paraId="340F1899">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6.1 甲方需求部门严格按照采购合同开展履约验收。验收时,应当按照本合同约定的技术、服务和安全标准，对供应商各项义务履行情况进行验收确认。未约定相关标准的，应当按照国家强制性规定、政策要求、安全标准和行业有关标准进行验收确认。验收结束后，应当出具验收意见，列明合同事项、验收标准及验收情况，由全体验收人员签字。</w:t>
      </w:r>
    </w:p>
    <w:p w14:paraId="5BA2F851">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6.2具体履约验收要求详见招标（采购）文件。</w:t>
      </w:r>
    </w:p>
    <w:p w14:paraId="203210BC">
      <w:pPr>
        <w:numPr>
          <w:ilvl w:val="0"/>
          <w:numId w:val="7"/>
        </w:numPr>
        <w:tabs>
          <w:tab w:val="left" w:pos="0"/>
          <w:tab w:val="left" w:pos="540"/>
        </w:tabs>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履约保证金</w:t>
      </w:r>
    </w:p>
    <w:p w14:paraId="67EA06C9">
      <w:pPr>
        <w:numPr>
          <w:ilvl w:val="0"/>
          <w:numId w:val="0"/>
        </w:numPr>
        <w:tabs>
          <w:tab w:val="left" w:pos="0"/>
          <w:tab w:val="left" w:pos="540"/>
        </w:tabs>
        <w:spacing w:line="520" w:lineRule="exact"/>
        <w:ind w:firstLine="562" w:firstLineChars="200"/>
        <w:rPr>
          <w:rFonts w:hint="eastAsia" w:ascii="仿宋" w:hAnsi="仿宋" w:eastAsia="仿宋" w:cs="仿宋"/>
          <w:b/>
          <w:sz w:val="28"/>
          <w:szCs w:val="28"/>
        </w:rPr>
      </w:pPr>
      <w:r>
        <w:rPr>
          <w:rFonts w:hint="eastAsia" w:ascii="仿宋" w:hAnsi="仿宋" w:eastAsia="仿宋" w:cs="仿宋"/>
          <w:b/>
          <w:sz w:val="28"/>
          <w:szCs w:val="28"/>
          <w:lang w:val="en-US" w:eastAsia="zh-CN"/>
        </w:rPr>
        <w:t>无</w:t>
      </w:r>
    </w:p>
    <w:p w14:paraId="6B3AA4FC">
      <w:pPr>
        <w:tabs>
          <w:tab w:val="left" w:pos="0"/>
          <w:tab w:val="left" w:pos="540"/>
        </w:tabs>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8．履约延误</w:t>
      </w:r>
    </w:p>
    <w:p w14:paraId="097DC526">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8.1 乙方应按照本合同的规定提供服务。</w:t>
      </w:r>
    </w:p>
    <w:p w14:paraId="14E06123">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8.2 如乙方迟延履行合同义务，甲方将从应付合同金额中扣除误期违约金，每延误一天误期违约金按合同总金额的万分之三（0.03%）计收。乙方支付的误期违约金不足以弥补甲方损失的，应继续承担赔偿责任。本合同约定的损失，包括但不限于：直接损失、调查取证费、诉讼费、律师费等。</w:t>
      </w:r>
    </w:p>
    <w:p w14:paraId="7A62C06D">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8.3 在履行合同过程中，如果乙方可能遇到妨碍按时提供服务的情况时，应及时以书面形式将拖延的事实，可能拖延的期限和理由通知甲方。甲方在收到乙方通知后，应尽快对情况进行评估，并确定是否酌情延长工期以及是否收取误期违约金。</w:t>
      </w:r>
    </w:p>
    <w:p w14:paraId="4FE0BADB">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8.4 除不可抗力和根据合同规定延期取得甲方同意而不收取误期违约金之外，乙方延误工期，将按合同规定被收取误期违约金。</w:t>
      </w:r>
    </w:p>
    <w:p w14:paraId="5A4DADBC">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9. 违约责任</w:t>
      </w:r>
    </w:p>
    <w:p w14:paraId="6F148E6D">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9.1 除本合同另有约定外，乙方不履行合同义务或者履行合同义务不符合合同约定的，按每违反一次从应付款项中扣除合同总金额的百分之一（1%）作为违约金；此外，应当承担继续履行、采取补救措施或者赔偿损失等违约责任。乙方支付的上述违约金、赔偿金等不足以弥补甲方损失的，应继续承担赔偿责任。本合同约定的损失，包括但不限于：直接损失、调查取证费、诉讼费、律师费等。</w:t>
      </w:r>
    </w:p>
    <w:p w14:paraId="34810ADF">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9.2 乙方没有按照时限要求提供服务，且在甲方指定的延长期限内没有采取补救措施，甲方有权自行采取其他方式进行补救，乙方除按合同第8条约定向甲方支付误期违约金外，另外甲方所发生的一切费用和甲方损失，甲方有权从应付的乙方的合同款项中扣除，不足扣除的乙方应另行支付。</w:t>
      </w:r>
    </w:p>
    <w:p w14:paraId="489A466A">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9.3 除应支付甲方违约金等外，甲方有权根据合同或有关部门出具的检验证书向乙方提出索赔。</w:t>
      </w:r>
    </w:p>
    <w:p w14:paraId="44B2B53F">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9.4 如果乙方对差异负有责任而甲方提出索赔，乙方同意按照下列方式解决索赔事宜：</w:t>
      </w:r>
    </w:p>
    <w:p w14:paraId="1C39C300">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如果在甲方发出索赔通知后5个工作日内，乙方未作书面答复，上述索赔应视为已被乙方接受。如乙方未能在甲方发出索赔通知后5个工作日内或甲方同意的延长期限内着手解决索赔事宜，甲方有权从应付乙方的合同款项中扣除索赔金额。</w:t>
      </w:r>
    </w:p>
    <w:p w14:paraId="55F17798">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9.5 对于本协议未约定的、招标（采购）文件（技术部分）中约定的违约处理条款，按招标（采购）文件（技术部分）相关约定执行；对本协议与招标（采购）文件（技术部分）约定不同的违约处理条款，以本协议约定为准。</w:t>
      </w:r>
    </w:p>
    <w:p w14:paraId="1CF2F00D">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10. 不可抗力</w:t>
      </w:r>
    </w:p>
    <w:p w14:paraId="2FE709D9">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10.1 本条所述的“不可抗力”系指双方不可预见、不可避免、不可克服的客观情况，但不包括双方的违约或疏忽。这些事件包括但不限于：战争、严重火灾、洪水、台风、地震等。</w:t>
      </w:r>
    </w:p>
    <w:p w14:paraId="249046CF">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10.2 如果乙方因不可抗力而导致合同实施延误或不能履行合同义务，不应承担误期赔偿或终止合同的责任。</w:t>
      </w:r>
    </w:p>
    <w:p w14:paraId="3F2C88A4">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10.3 在不可抗力事件发生后，当事方应及时将不可抗力情况通知合同对方，在不可抗力事件结束后3日内以书面形式将不可抗力的情况和原因通知合同对方，并提供相应的证明文件。合同各方应尽可能继续履行合同义务，并积极寻求采取合理的措施履行不受不可抗力影响的其他事项。合同各方应通过友好协商在合理的时间内达成进一步履行的协议。</w:t>
      </w:r>
    </w:p>
    <w:p w14:paraId="1C079C7C">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10.4 如因国家政策变化、技术实施所需的客观环境发生变化、重大技术变化、国家调减预算、乙方在执行合同的过程中发生对履行合同有直接影响的重大事故或变故、甲方工作计划调整及推广使用新应用系统导致本项目相关服务停止等原因，本合同不能继续全部或部分履行，甲方有权通知乙方解除本合同的全部或部分，双方将按已经实际履行并验收合格的合同内容进行结算。</w:t>
      </w:r>
    </w:p>
    <w:p w14:paraId="77F72519">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11. 争端的解决</w:t>
      </w:r>
    </w:p>
    <w:p w14:paraId="483D363F">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11.1 甲乙双方应首先通过友好协商解决在执行本合同中所发生的或与本合同有关的一切争端。如从协商开始</w:t>
      </w:r>
      <w:r>
        <w:rPr>
          <w:rFonts w:hint="eastAsia" w:ascii="仿宋" w:hAnsi="仿宋" w:eastAsia="仿宋" w:cs="仿宋"/>
          <w:sz w:val="28"/>
          <w:szCs w:val="28"/>
          <w:u w:val="single"/>
        </w:rPr>
        <w:t xml:space="preserve">    </w:t>
      </w:r>
      <w:r>
        <w:rPr>
          <w:rFonts w:hint="eastAsia" w:ascii="仿宋" w:hAnsi="仿宋" w:eastAsia="仿宋" w:cs="仿宋"/>
          <w:sz w:val="28"/>
          <w:szCs w:val="28"/>
        </w:rPr>
        <w:t>天内仍不能解决，可以按合同约定的方式提起仲裁或诉讼。</w:t>
      </w:r>
    </w:p>
    <w:p w14:paraId="34FFF089">
      <w:pPr>
        <w:spacing w:line="520" w:lineRule="exact"/>
        <w:ind w:left="239" w:firstLine="280"/>
        <w:rPr>
          <w:rFonts w:hint="eastAsia" w:ascii="仿宋" w:hAnsi="仿宋" w:eastAsia="仿宋" w:cs="仿宋"/>
          <w:sz w:val="28"/>
          <w:szCs w:val="28"/>
        </w:rPr>
      </w:pPr>
      <w:r>
        <w:rPr>
          <w:rFonts w:hint="eastAsia" w:ascii="仿宋" w:hAnsi="仿宋" w:eastAsia="仿宋" w:cs="仿宋"/>
          <w:sz w:val="28"/>
          <w:szCs w:val="28"/>
        </w:rPr>
        <w:t>11.2.1仲裁应向淮安仲裁委员会申请仲裁。</w:t>
      </w:r>
    </w:p>
    <w:p w14:paraId="331A1DA2">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11.2.2 仲裁裁决应为最终裁决，对双方均具有约束力。</w:t>
      </w:r>
    </w:p>
    <w:p w14:paraId="2AC307AC">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11.2.3 仲裁费除仲裁机关另有裁决外应由败诉方负担。</w:t>
      </w:r>
    </w:p>
    <w:p w14:paraId="4085DA1B">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11.2.4在仲裁期间，除正在进行仲裁部分外，本合同的其它部分应继续执行。</w:t>
      </w:r>
    </w:p>
    <w:p w14:paraId="51B0793C">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11.3.1诉讼应向甲方所在地或人民法院提起诉讼。</w:t>
      </w:r>
    </w:p>
    <w:p w14:paraId="3F7E828F">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11.3.2诉讼费除人民法院另有判决外，应由败诉方负担。</w:t>
      </w:r>
    </w:p>
    <w:p w14:paraId="0A738B5A">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11.3.3在诉讼期间，除正在进行诉讼部分外，本合同的其它部分应继续执行。</w:t>
      </w:r>
    </w:p>
    <w:p w14:paraId="72141099">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12. 违约终止合同</w:t>
      </w:r>
    </w:p>
    <w:p w14:paraId="3CB2B5E6">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12.1 若出现如下情况，在甲方对乙方违约行为而采取的任何补救措施不受影响的情况下，甲方可向乙方发出书面通知书，提出解除部分或全部合同。自甲方发出书面通知书之日起30日内，乙方应支付甲方合同总金额20%的违约金，并根据合同执行情况返还部分或全部已收取款项。乙方支付的违约金不足以弥补甲方损失的，应继续承担赔偿责任。本合同约定的损失，包括但不限于：直接损失、调查取证费、诉讼费、律师费等。</w:t>
      </w:r>
    </w:p>
    <w:p w14:paraId="1447FEE2">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12.1.1 乙方不履行合同义务或者履行合同义务不符合合同约定累计达两次的；</w:t>
      </w:r>
    </w:p>
    <w:p w14:paraId="20FD9A15">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12.1.2 如果乙方未能在合同规定的期限或甲方同意延长的期限内提供服务，迟延累计达20日的；</w:t>
      </w:r>
    </w:p>
    <w:p w14:paraId="217EC165">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12.1.3 因乙方人员自身技术能力、经验不足等问题造成甲方发生重大紧急故障，带来重大影响和损失的；</w:t>
      </w:r>
    </w:p>
    <w:p w14:paraId="29D43317">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12.1.4 乙方对重大紧急故障没有及时响应，或不能在规定时间内解决处理故障、恢复正常运行的；</w:t>
      </w:r>
    </w:p>
    <w:p w14:paraId="08D3570A">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12.1.5 乙方不能满足本项目技术需求的管理要求和规范，且经两次整改无明显改进的；</w:t>
      </w:r>
    </w:p>
    <w:p w14:paraId="73E09540">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12.1.6 乙方利用本项目实施过程中所产生的成果，利用为税务机关提供服务的便利，向纳税人缴费人搭车收费或变相收费的，或有其他失信行为的；</w:t>
      </w:r>
    </w:p>
    <w:p w14:paraId="23E5E962">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12.1.7 乙方在本项目实施过程中发生违反甲方规定行为造成不良后果的。</w:t>
      </w:r>
    </w:p>
    <w:p w14:paraId="2E5F05DB">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12.1.8 乙方提供的服务侵犯甲方、第三方知识产权等合法权益的；</w:t>
      </w:r>
    </w:p>
    <w:p w14:paraId="12A8F695">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12.1.9 乙方或乙方人员造成甲方或第三方经济损失而拒不赔偿的；</w:t>
      </w:r>
    </w:p>
    <w:p w14:paraId="6B819218">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12.1.10 乙方转让其应履行的合同义务，或未经甲方同意采取分包方式履行合同</w:t>
      </w:r>
    </w:p>
    <w:p w14:paraId="17E0C302">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的；</w:t>
      </w:r>
    </w:p>
    <w:p w14:paraId="1B2B1199">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12.1.11 乙方有其他严重违约行为的。</w:t>
      </w:r>
    </w:p>
    <w:p w14:paraId="5F8D4309">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12.2 如果甲方根据上述第12.1条的规定，解除了全部或部分合同，甲方可以适当的条件和方法购买乙方未能提供的服务，乙方应对甲方购买类似服务所超出的费用负责。同时，乙方应继续执行合同中未解除的部分。</w:t>
      </w:r>
    </w:p>
    <w:p w14:paraId="367BC7B7">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13. 破产终止合同</w:t>
      </w:r>
    </w:p>
    <w:p w14:paraId="604863A6">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13.1 如果乙方破产或无清偿能力，甲方可在任何时候以书面形式通知乙方终止合同而不给乙方补偿。</w:t>
      </w:r>
    </w:p>
    <w:p w14:paraId="36487BF6">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13.2该终止合同将不损害或影响甲方已经采取或将要采取的任何行动或补救措施的权利。</w:t>
      </w:r>
    </w:p>
    <w:p w14:paraId="1BEC30F6">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14. 其他情况的终止合同</w:t>
      </w:r>
    </w:p>
    <w:p w14:paraId="2F56D50E">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14.1 乙方在执行合同的过程中发生重大事故或变故，对履行合同有直接影响的，甲方可以提出终止合同而不给予乙方任何补偿。</w:t>
      </w:r>
    </w:p>
    <w:p w14:paraId="7DF29779">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14.2 在服务期内，由于甲方工作计划调整，本项目相关服务停止的，甲方可以提出终止合同而不给予乙方任何补偿。</w:t>
      </w:r>
    </w:p>
    <w:p w14:paraId="2A6463D8">
      <w:pPr>
        <w:tabs>
          <w:tab w:val="left" w:pos="700"/>
        </w:tabs>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15. 合同修改或变更</w:t>
      </w:r>
    </w:p>
    <w:p w14:paraId="21CCBA55">
      <w:pPr>
        <w:spacing w:line="520" w:lineRule="exact"/>
        <w:ind w:firstLine="482"/>
        <w:rPr>
          <w:rFonts w:hint="eastAsia" w:ascii="仿宋" w:hAnsi="仿宋" w:eastAsia="仿宋" w:cs="仿宋"/>
          <w:sz w:val="28"/>
          <w:szCs w:val="28"/>
        </w:rPr>
      </w:pPr>
      <w:r>
        <w:rPr>
          <w:rFonts w:hint="eastAsia" w:ascii="仿宋" w:hAnsi="仿宋" w:eastAsia="仿宋" w:cs="仿宋"/>
          <w:sz w:val="28"/>
          <w:szCs w:val="28"/>
        </w:rPr>
        <w:t>15.1 合同如有未尽事宜，须经甲乙双方共同协商，做出补充约定，并签订书面补充合同或变更协议。补充合同或变更协议作为本合同的一部分，与本合同具有同等效力。</w:t>
      </w:r>
    </w:p>
    <w:p w14:paraId="4B2C22FB">
      <w:pPr>
        <w:spacing w:line="520" w:lineRule="exact"/>
        <w:ind w:firstLine="560"/>
        <w:rPr>
          <w:rFonts w:hint="eastAsia" w:ascii="仿宋" w:hAnsi="仿宋" w:eastAsia="仿宋" w:cs="仿宋"/>
          <w:b/>
          <w:sz w:val="28"/>
          <w:szCs w:val="28"/>
        </w:rPr>
      </w:pPr>
      <w:r>
        <w:rPr>
          <w:rFonts w:hint="eastAsia" w:ascii="仿宋" w:hAnsi="仿宋" w:eastAsia="仿宋" w:cs="仿宋"/>
          <w:sz w:val="28"/>
          <w:szCs w:val="28"/>
        </w:rPr>
        <w:t>15.2 除了双方签署书面修改或变更协议，并成为本合同不可分割的一部分的情况之外，本合同的条款不得有任何变化或修改。</w:t>
      </w:r>
    </w:p>
    <w:p w14:paraId="74C7929A">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15.3 由于甲方项目统一规划等原因导致本项目停止部分服务的，甲方将与乙方协商处理。</w:t>
      </w:r>
    </w:p>
    <w:p w14:paraId="774065BF">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16. 转让和分包</w:t>
      </w:r>
    </w:p>
    <w:p w14:paraId="0EA115CC">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16.1 除甲方事先书面同意外，乙方不得部分转让或全部转让其应履行的合同义务。</w:t>
      </w:r>
    </w:p>
    <w:p w14:paraId="397566F2">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16.2 未经甲方同意，乙方不得采取分包方式履行合同。经甲方同意分包履行合同的，乙方就采购项目及分包项目向甲方负责，分包供应商就分包项目承担责任。</w:t>
      </w:r>
    </w:p>
    <w:p w14:paraId="5C1230EF">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17. 合同语言</w:t>
      </w:r>
    </w:p>
    <w:p w14:paraId="0CFD054D">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17.1 本合同语言为中文。</w:t>
      </w:r>
    </w:p>
    <w:p w14:paraId="2220BE54">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17.2 双方交换的与合同有关的信件和其他文件应用合同语言书写。</w:t>
      </w:r>
    </w:p>
    <w:p w14:paraId="09BC9ED4">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18. 适用法律</w:t>
      </w:r>
    </w:p>
    <w:p w14:paraId="68EE0D2A">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18.1 本合同按照中华人民共和国现行法律进行解释。</w:t>
      </w:r>
    </w:p>
    <w:p w14:paraId="0FEE4DCE">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18.2 本合同的履行、违约责任和解决争议的方法等适用《中华人民共和国民法典（合同编）》。</w:t>
      </w:r>
    </w:p>
    <w:p w14:paraId="236E8487">
      <w:pPr>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19. 税费</w:t>
      </w:r>
    </w:p>
    <w:p w14:paraId="1A2F7B13">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19.1 乙方应依法缴纳的合同服务相关税费，均已包含于合同总金额中，甲方不再另行支付。</w:t>
      </w:r>
    </w:p>
    <w:p w14:paraId="4840B3E6">
      <w:pPr>
        <w:tabs>
          <w:tab w:val="left" w:pos="700"/>
        </w:tabs>
        <w:spacing w:line="520" w:lineRule="exact"/>
        <w:ind w:firstLine="562"/>
        <w:rPr>
          <w:rFonts w:hint="eastAsia" w:ascii="仿宋" w:hAnsi="仿宋" w:eastAsia="仿宋" w:cs="仿宋"/>
          <w:b/>
          <w:sz w:val="28"/>
          <w:szCs w:val="28"/>
        </w:rPr>
      </w:pPr>
      <w:r>
        <w:rPr>
          <w:rFonts w:hint="eastAsia" w:ascii="仿宋" w:hAnsi="仿宋" w:eastAsia="仿宋" w:cs="仿宋"/>
          <w:b/>
          <w:sz w:val="28"/>
          <w:szCs w:val="28"/>
        </w:rPr>
        <w:t>20. 合同生效</w:t>
      </w:r>
    </w:p>
    <w:p w14:paraId="485D3EAB">
      <w:pPr>
        <w:spacing w:line="520" w:lineRule="exact"/>
        <w:ind w:firstLine="560"/>
        <w:rPr>
          <w:rFonts w:hint="eastAsia" w:ascii="仿宋" w:hAnsi="仿宋" w:eastAsia="仿宋" w:cs="仿宋"/>
          <w:sz w:val="28"/>
          <w:szCs w:val="28"/>
        </w:rPr>
      </w:pPr>
      <w:r>
        <w:rPr>
          <w:rFonts w:hint="eastAsia" w:ascii="仿宋" w:hAnsi="仿宋" w:eastAsia="仿宋" w:cs="仿宋"/>
          <w:sz w:val="28"/>
          <w:szCs w:val="28"/>
        </w:rPr>
        <w:t>20.1 本合同一式</w:t>
      </w:r>
      <w:r>
        <w:rPr>
          <w:rFonts w:hint="eastAsia" w:ascii="仿宋" w:hAnsi="仿宋" w:eastAsia="仿宋" w:cs="仿宋"/>
          <w:sz w:val="28"/>
          <w:szCs w:val="28"/>
          <w:u w:val="single"/>
        </w:rPr>
        <w:t xml:space="preserve">   </w:t>
      </w:r>
      <w:r>
        <w:rPr>
          <w:rFonts w:hint="eastAsia" w:ascii="仿宋" w:hAnsi="仿宋" w:eastAsia="仿宋" w:cs="仿宋"/>
          <w:sz w:val="28"/>
          <w:szCs w:val="28"/>
        </w:rPr>
        <w:t>份，由甲乙双方法定代表人或被授权人签字并盖章后生效。</w:t>
      </w:r>
    </w:p>
    <w:p w14:paraId="7BC00DFA">
      <w:pPr>
        <w:pStyle w:val="45"/>
      </w:pPr>
    </w:p>
    <w:p w14:paraId="6F2549A3">
      <w:pPr>
        <w:pStyle w:val="64"/>
        <w:ind w:firstLine="480"/>
        <w:rPr>
          <w:rFonts w:ascii="宋体" w:hAnsi="宋体" w:eastAsia="宋体" w:cs="宋体"/>
          <w:sz w:val="24"/>
          <w:szCs w:val="24"/>
        </w:rPr>
      </w:pPr>
    </w:p>
    <w:p w14:paraId="0486F0D9">
      <w:pPr>
        <w:pStyle w:val="64"/>
        <w:ind w:firstLine="420"/>
      </w:pPr>
    </w:p>
    <w:p w14:paraId="47D26769">
      <w:pPr>
        <w:pStyle w:val="64"/>
        <w:ind w:firstLine="420"/>
      </w:pPr>
    </w:p>
    <w:p w14:paraId="19140369">
      <w:pPr>
        <w:pStyle w:val="64"/>
        <w:ind w:firstLine="420"/>
      </w:pPr>
    </w:p>
    <w:p w14:paraId="4FA79A85">
      <w:pPr>
        <w:pStyle w:val="64"/>
        <w:ind w:firstLine="420"/>
      </w:pPr>
    </w:p>
    <w:p w14:paraId="6DD5F1EC">
      <w:pPr>
        <w:pStyle w:val="64"/>
        <w:ind w:firstLine="420"/>
      </w:pPr>
    </w:p>
    <w:p w14:paraId="43AECF37">
      <w:pPr>
        <w:pStyle w:val="64"/>
        <w:ind w:firstLine="420"/>
      </w:pPr>
    </w:p>
    <w:p w14:paraId="24503AC9">
      <w:pPr>
        <w:pStyle w:val="64"/>
        <w:ind w:firstLine="420"/>
      </w:pPr>
    </w:p>
    <w:p w14:paraId="34EC07A3">
      <w:pPr>
        <w:pStyle w:val="64"/>
        <w:ind w:firstLine="420"/>
      </w:pPr>
    </w:p>
    <w:p w14:paraId="5DEDD127">
      <w:pPr>
        <w:pStyle w:val="64"/>
        <w:ind w:firstLine="420"/>
      </w:pPr>
    </w:p>
    <w:p w14:paraId="077DB650">
      <w:pPr>
        <w:pStyle w:val="64"/>
        <w:ind w:firstLine="420"/>
      </w:pPr>
    </w:p>
    <w:p w14:paraId="7CC7D92D">
      <w:pPr>
        <w:pStyle w:val="64"/>
        <w:ind w:firstLine="420"/>
      </w:pPr>
    </w:p>
    <w:p w14:paraId="19E38371">
      <w:pPr>
        <w:pStyle w:val="64"/>
        <w:ind w:firstLine="420"/>
      </w:pPr>
    </w:p>
    <w:p w14:paraId="483655B3">
      <w:pPr>
        <w:pStyle w:val="64"/>
        <w:ind w:firstLine="420"/>
      </w:pPr>
    </w:p>
    <w:p w14:paraId="28ED8B10">
      <w:pPr>
        <w:adjustRightInd w:val="0"/>
        <w:snapToGrid w:val="0"/>
        <w:spacing w:line="360" w:lineRule="auto"/>
        <w:ind w:right="113"/>
        <w:contextualSpacing/>
        <w:jc w:val="center"/>
        <w:rPr>
          <w:rFonts w:hint="eastAsia" w:ascii="宋体" w:hAnsi="宋体" w:cs="宋体"/>
          <w:b/>
          <w:bCs/>
          <w:sz w:val="32"/>
          <w:szCs w:val="32"/>
        </w:rPr>
      </w:pPr>
    </w:p>
    <w:p w14:paraId="6F3CCDA4">
      <w:pPr>
        <w:adjustRightInd w:val="0"/>
        <w:snapToGrid w:val="0"/>
        <w:spacing w:line="360" w:lineRule="auto"/>
        <w:ind w:right="113"/>
        <w:contextualSpacing/>
        <w:jc w:val="center"/>
        <w:rPr>
          <w:rFonts w:hint="eastAsia" w:ascii="宋体" w:hAnsi="宋体" w:cs="宋体"/>
          <w:b/>
          <w:bCs/>
          <w:sz w:val="32"/>
          <w:szCs w:val="32"/>
        </w:rPr>
      </w:pPr>
    </w:p>
    <w:p w14:paraId="587320C4">
      <w:pPr>
        <w:adjustRightInd w:val="0"/>
        <w:snapToGrid w:val="0"/>
        <w:spacing w:line="360" w:lineRule="auto"/>
        <w:ind w:right="113"/>
        <w:contextualSpacing/>
        <w:jc w:val="center"/>
        <w:rPr>
          <w:rFonts w:hint="eastAsia" w:ascii="宋体" w:hAnsi="宋体" w:cs="宋体"/>
          <w:b/>
          <w:bCs/>
          <w:sz w:val="32"/>
          <w:szCs w:val="32"/>
        </w:rPr>
      </w:pPr>
    </w:p>
    <w:p w14:paraId="67829116">
      <w:pPr>
        <w:adjustRightInd w:val="0"/>
        <w:snapToGrid w:val="0"/>
        <w:spacing w:line="360" w:lineRule="auto"/>
        <w:ind w:right="113"/>
        <w:contextualSpacing/>
        <w:jc w:val="center"/>
        <w:rPr>
          <w:rFonts w:ascii="宋体" w:cs="宋体"/>
          <w:b/>
          <w:bCs/>
          <w:sz w:val="32"/>
          <w:szCs w:val="32"/>
        </w:rPr>
      </w:pPr>
      <w:r>
        <w:rPr>
          <w:rFonts w:hint="eastAsia" w:ascii="宋体" w:hAnsi="宋体" w:cs="宋体"/>
          <w:b/>
          <w:bCs/>
          <w:sz w:val="32"/>
          <w:szCs w:val="32"/>
        </w:rPr>
        <w:t>第五篇、磋商文件部分格式（响应文件）</w:t>
      </w:r>
    </w:p>
    <w:p w14:paraId="1704E9C3">
      <w:pPr>
        <w:pStyle w:val="26"/>
        <w:spacing w:line="560" w:lineRule="exact"/>
        <w:jc w:val="center"/>
        <w:rPr>
          <w:rFonts w:ascii="宋体" w:hAnsi="宋体" w:cs="宋体"/>
          <w:b/>
          <w:bCs/>
          <w:szCs w:val="28"/>
        </w:rPr>
      </w:pPr>
    </w:p>
    <w:p w14:paraId="32889F7A">
      <w:pPr>
        <w:tabs>
          <w:tab w:val="left" w:pos="6300"/>
        </w:tabs>
        <w:snapToGrid w:val="0"/>
        <w:spacing w:line="500" w:lineRule="exact"/>
        <w:ind w:firstLine="730"/>
        <w:rPr>
          <w:rFonts w:ascii="宋体" w:cs="宋体"/>
          <w:sz w:val="28"/>
          <w:szCs w:val="28"/>
        </w:rPr>
      </w:pPr>
    </w:p>
    <w:p w14:paraId="3E5AE9A8">
      <w:pPr>
        <w:pStyle w:val="64"/>
        <w:ind w:firstLine="420"/>
      </w:pPr>
    </w:p>
    <w:p w14:paraId="40C29FCF">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项目名称</w:t>
      </w:r>
      <w:r>
        <w:rPr>
          <w:rFonts w:ascii="宋体" w:hAnsi="宋体" w:cs="宋体"/>
          <w:sz w:val="28"/>
          <w:szCs w:val="28"/>
        </w:rPr>
        <w:t>:</w:t>
      </w:r>
    </w:p>
    <w:p w14:paraId="05799082">
      <w:pPr>
        <w:tabs>
          <w:tab w:val="left" w:pos="6300"/>
        </w:tabs>
        <w:snapToGrid w:val="0"/>
        <w:spacing w:line="500" w:lineRule="exact"/>
        <w:ind w:firstLine="730"/>
        <w:rPr>
          <w:rFonts w:ascii="宋体" w:cs="宋体"/>
          <w:sz w:val="28"/>
          <w:szCs w:val="28"/>
        </w:rPr>
      </w:pPr>
    </w:p>
    <w:p w14:paraId="23A98992">
      <w:pPr>
        <w:pStyle w:val="64"/>
        <w:ind w:firstLine="420"/>
      </w:pPr>
    </w:p>
    <w:p w14:paraId="3A0F5E50">
      <w:pPr>
        <w:tabs>
          <w:tab w:val="left" w:pos="6300"/>
        </w:tabs>
        <w:snapToGrid w:val="0"/>
        <w:spacing w:line="500" w:lineRule="exact"/>
        <w:ind w:firstLine="730"/>
        <w:rPr>
          <w:rFonts w:ascii="宋体" w:cs="宋体"/>
          <w:sz w:val="28"/>
          <w:szCs w:val="28"/>
        </w:rPr>
      </w:pPr>
    </w:p>
    <w:p w14:paraId="7AA1E658">
      <w:pPr>
        <w:tabs>
          <w:tab w:val="left" w:pos="6300"/>
        </w:tabs>
        <w:snapToGrid w:val="0"/>
        <w:spacing w:line="500" w:lineRule="exact"/>
        <w:ind w:firstLine="1848" w:firstLineChars="660"/>
        <w:rPr>
          <w:rFonts w:ascii="宋体" w:cs="宋体"/>
          <w:sz w:val="28"/>
          <w:szCs w:val="28"/>
        </w:rPr>
      </w:pPr>
      <w:r>
        <w:rPr>
          <w:rFonts w:hint="eastAsia" w:ascii="宋体" w:hAnsi="宋体" w:cs="宋体"/>
          <w:sz w:val="28"/>
          <w:szCs w:val="28"/>
        </w:rPr>
        <w:t>项目编号</w:t>
      </w:r>
      <w:r>
        <w:rPr>
          <w:rFonts w:ascii="宋体" w:hAnsi="宋体" w:cs="宋体"/>
          <w:sz w:val="28"/>
          <w:szCs w:val="28"/>
        </w:rPr>
        <w:t>:</w:t>
      </w:r>
    </w:p>
    <w:p w14:paraId="300EC285">
      <w:pPr>
        <w:tabs>
          <w:tab w:val="left" w:pos="6300"/>
        </w:tabs>
        <w:snapToGrid w:val="0"/>
        <w:spacing w:line="500" w:lineRule="exact"/>
        <w:ind w:firstLine="730"/>
        <w:rPr>
          <w:rFonts w:ascii="宋体" w:cs="宋体"/>
          <w:sz w:val="28"/>
          <w:szCs w:val="28"/>
        </w:rPr>
      </w:pPr>
    </w:p>
    <w:p w14:paraId="4149283B">
      <w:pPr>
        <w:pStyle w:val="64"/>
        <w:ind w:firstLine="420"/>
      </w:pPr>
    </w:p>
    <w:p w14:paraId="2E9936F4">
      <w:pPr>
        <w:tabs>
          <w:tab w:val="left" w:pos="6300"/>
        </w:tabs>
        <w:snapToGrid w:val="0"/>
        <w:spacing w:line="500" w:lineRule="exact"/>
        <w:ind w:firstLine="730"/>
        <w:rPr>
          <w:rFonts w:ascii="宋体" w:cs="宋体"/>
          <w:sz w:val="28"/>
          <w:szCs w:val="28"/>
        </w:rPr>
      </w:pPr>
    </w:p>
    <w:p w14:paraId="46DDE81C">
      <w:pPr>
        <w:tabs>
          <w:tab w:val="left" w:pos="6300"/>
        </w:tabs>
        <w:snapToGrid w:val="0"/>
        <w:spacing w:line="500" w:lineRule="exact"/>
        <w:ind w:firstLine="1848" w:firstLineChars="660"/>
        <w:rPr>
          <w:rFonts w:ascii="宋体" w:hAnsi="宋体" w:cs="宋体"/>
          <w:sz w:val="28"/>
          <w:szCs w:val="28"/>
        </w:rPr>
      </w:pPr>
      <w:r>
        <w:rPr>
          <w:rFonts w:hint="eastAsia" w:ascii="宋体" w:hAnsi="宋体" w:cs="宋体"/>
          <w:sz w:val="28"/>
          <w:szCs w:val="28"/>
        </w:rPr>
        <w:t>投 标 人：</w:t>
      </w:r>
    </w:p>
    <w:p w14:paraId="4A1E6039">
      <w:pPr>
        <w:pStyle w:val="64"/>
        <w:ind w:firstLine="420"/>
      </w:pPr>
    </w:p>
    <w:p w14:paraId="0A5E53AF">
      <w:pPr>
        <w:pStyle w:val="64"/>
        <w:ind w:firstLine="420"/>
      </w:pPr>
    </w:p>
    <w:p w14:paraId="5FBD2668">
      <w:pPr>
        <w:pStyle w:val="64"/>
        <w:ind w:firstLine="420"/>
      </w:pPr>
    </w:p>
    <w:p w14:paraId="767748B5">
      <w:pPr>
        <w:pStyle w:val="64"/>
        <w:ind w:firstLine="420"/>
        <w:rPr>
          <w:rFonts w:ascii="宋体" w:hAnsi="宋体" w:eastAsia="宋体" w:cs="宋体"/>
          <w:sz w:val="28"/>
          <w:szCs w:val="28"/>
        </w:rPr>
      </w:pPr>
      <w:r>
        <w:rPr>
          <w:rFonts w:hint="eastAsia"/>
        </w:rPr>
        <w:t xml:space="preserve">             </w:t>
      </w:r>
      <w:r>
        <w:rPr>
          <w:rFonts w:hint="eastAsia" w:ascii="宋体" w:hAnsi="宋体" w:eastAsia="宋体" w:cs="宋体"/>
          <w:sz w:val="28"/>
          <w:szCs w:val="28"/>
        </w:rPr>
        <w:t>日     期：</w:t>
      </w:r>
    </w:p>
    <w:p w14:paraId="592D3B4B">
      <w:pPr>
        <w:pStyle w:val="64"/>
        <w:ind w:firstLine="560"/>
        <w:rPr>
          <w:rFonts w:ascii="宋体" w:hAnsi="宋体" w:eastAsia="宋体" w:cs="宋体"/>
          <w:sz w:val="28"/>
          <w:szCs w:val="28"/>
        </w:rPr>
      </w:pPr>
    </w:p>
    <w:p w14:paraId="7DCAA2FC">
      <w:pPr>
        <w:widowControl/>
        <w:jc w:val="center"/>
        <w:rPr>
          <w:rFonts w:hint="eastAsia" w:ascii="宋体" w:hAnsi="宋体" w:cs="宋体"/>
          <w:b/>
          <w:bCs/>
          <w:sz w:val="32"/>
          <w:szCs w:val="32"/>
        </w:rPr>
      </w:pPr>
    </w:p>
    <w:p w14:paraId="5E7089B1">
      <w:pPr>
        <w:widowControl/>
        <w:jc w:val="center"/>
        <w:rPr>
          <w:rFonts w:hint="eastAsia" w:ascii="宋体" w:hAnsi="宋体" w:cs="宋体"/>
          <w:b/>
          <w:bCs/>
          <w:sz w:val="32"/>
          <w:szCs w:val="32"/>
        </w:rPr>
      </w:pPr>
    </w:p>
    <w:p w14:paraId="58FD539D">
      <w:pPr>
        <w:widowControl/>
        <w:jc w:val="center"/>
        <w:rPr>
          <w:rFonts w:hint="eastAsia" w:ascii="宋体" w:hAnsi="宋体" w:cs="宋体"/>
          <w:b/>
          <w:bCs/>
          <w:sz w:val="32"/>
          <w:szCs w:val="32"/>
        </w:rPr>
      </w:pPr>
    </w:p>
    <w:p w14:paraId="4120EC7B">
      <w:pPr>
        <w:widowControl/>
        <w:jc w:val="center"/>
        <w:rPr>
          <w:rFonts w:hint="eastAsia" w:ascii="宋体" w:hAnsi="宋体" w:cs="宋体"/>
          <w:b/>
          <w:bCs/>
          <w:sz w:val="32"/>
          <w:szCs w:val="32"/>
        </w:rPr>
      </w:pPr>
    </w:p>
    <w:p w14:paraId="374889AF">
      <w:pPr>
        <w:widowControl/>
        <w:jc w:val="center"/>
        <w:rPr>
          <w:rFonts w:ascii="宋体" w:cs="宋体"/>
          <w:b/>
          <w:sz w:val="32"/>
          <w:szCs w:val="32"/>
        </w:rPr>
      </w:pPr>
      <w:r>
        <w:rPr>
          <w:rFonts w:hint="eastAsia" w:ascii="宋体" w:hAnsi="宋体" w:cs="宋体"/>
          <w:b/>
          <w:bCs/>
          <w:sz w:val="32"/>
          <w:szCs w:val="32"/>
        </w:rPr>
        <w:t>一、投标函（或</w:t>
      </w:r>
      <w:r>
        <w:rPr>
          <w:rFonts w:hint="eastAsia" w:ascii="宋体" w:hAnsi="宋体" w:cs="宋体"/>
          <w:b/>
          <w:sz w:val="32"/>
          <w:szCs w:val="32"/>
        </w:rPr>
        <w:t>竞争性磋商函）</w:t>
      </w:r>
    </w:p>
    <w:p w14:paraId="74D6C574">
      <w:pPr>
        <w:keepNext w:val="0"/>
        <w:keepLines w:val="0"/>
        <w:pageBreakBefore w:val="0"/>
        <w:widowControl w:val="0"/>
        <w:tabs>
          <w:tab w:val="left" w:pos="6300"/>
        </w:tabs>
        <w:kinsoku/>
        <w:wordWrap/>
        <w:overflowPunct/>
        <w:topLinePunct w:val="0"/>
        <w:autoSpaceDE/>
        <w:autoSpaceDN/>
        <w:bidi w:val="0"/>
        <w:adjustRightInd/>
        <w:snapToGrid w:val="0"/>
        <w:spacing w:line="420" w:lineRule="exact"/>
        <w:textAlignment w:val="auto"/>
        <w:rPr>
          <w:rFonts w:ascii="宋体" w:hAnsi="宋体" w:cs="宋体"/>
          <w:sz w:val="24"/>
        </w:rPr>
      </w:pPr>
      <w:r>
        <w:rPr>
          <w:rFonts w:hint="eastAsia" w:ascii="宋体" w:hAnsi="宋体" w:cs="宋体"/>
          <w:sz w:val="24"/>
        </w:rPr>
        <w:t>（采购单位）：</w:t>
      </w:r>
    </w:p>
    <w:p w14:paraId="6E61ECE6">
      <w:pPr>
        <w:pStyle w:val="23"/>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Ansi="宋体" w:cs="宋体"/>
          <w:sz w:val="24"/>
          <w:szCs w:val="24"/>
        </w:rPr>
      </w:pPr>
      <w:r>
        <w:rPr>
          <w:rFonts w:hint="eastAsia" w:hAnsi="宋体" w:cs="宋体"/>
          <w:sz w:val="24"/>
          <w:szCs w:val="24"/>
        </w:rPr>
        <w:t>关于</w:t>
      </w:r>
      <w:r>
        <w:rPr>
          <w:rFonts w:hint="eastAsia" w:hAnsi="宋体" w:cs="宋体"/>
          <w:sz w:val="24"/>
          <w:szCs w:val="24"/>
          <w:u w:val="single"/>
        </w:rPr>
        <w:t xml:space="preserve">             </w:t>
      </w:r>
      <w:r>
        <w:rPr>
          <w:rFonts w:hint="eastAsia" w:hAnsi="宋体" w:cs="宋体"/>
          <w:sz w:val="24"/>
          <w:szCs w:val="24"/>
        </w:rPr>
        <w:t xml:space="preserve">采购项目（项目编号: </w:t>
      </w:r>
      <w:r>
        <w:rPr>
          <w:rFonts w:hint="eastAsia" w:hAnsi="宋体" w:cs="宋体"/>
          <w:sz w:val="24"/>
          <w:szCs w:val="24"/>
          <w:u w:val="single"/>
        </w:rPr>
        <w:t xml:space="preserve">           </w:t>
      </w:r>
      <w:r>
        <w:rPr>
          <w:rFonts w:hint="eastAsia" w:hAnsi="宋体" w:cs="宋体"/>
          <w:sz w:val="24"/>
          <w:szCs w:val="24"/>
        </w:rPr>
        <w:t xml:space="preserve"> ）招标文件，同时，正式授权下述签字人</w:t>
      </w:r>
      <w:r>
        <w:rPr>
          <w:rFonts w:hint="eastAsia" w:hAnsi="宋体" w:cs="宋体"/>
          <w:sz w:val="24"/>
          <w:szCs w:val="24"/>
          <w:u w:val="single"/>
        </w:rPr>
        <w:t xml:space="preserve">              </w:t>
      </w:r>
      <w:r>
        <w:rPr>
          <w:rFonts w:hint="eastAsia" w:hAnsi="宋体" w:cs="宋体"/>
          <w:sz w:val="24"/>
          <w:szCs w:val="24"/>
        </w:rPr>
        <w:t>（姓名和职务）代表</w:t>
      </w:r>
      <w:r>
        <w:rPr>
          <w:rFonts w:hint="eastAsia" w:hAnsi="宋体" w:cs="宋体"/>
          <w:sz w:val="24"/>
          <w:szCs w:val="24"/>
          <w:u w:val="single"/>
        </w:rPr>
        <w:t xml:space="preserve">                        </w:t>
      </w:r>
      <w:r>
        <w:rPr>
          <w:rFonts w:hint="eastAsia" w:hAnsi="宋体" w:cs="宋体"/>
          <w:sz w:val="24"/>
          <w:szCs w:val="24"/>
        </w:rPr>
        <w:t>（投标人单位名称）全权处理本次项目投标的有关事宜。</w:t>
      </w:r>
    </w:p>
    <w:p w14:paraId="7FE2CA03">
      <w:pPr>
        <w:pStyle w:val="295"/>
        <w:keepNext w:val="0"/>
        <w:keepLines w:val="0"/>
        <w:pageBreakBefore w:val="0"/>
        <w:widowControl w:val="0"/>
        <w:numPr>
          <w:ilvl w:val="0"/>
          <w:numId w:val="0"/>
        </w:numPr>
        <w:tabs>
          <w:tab w:val="left" w:pos="1050"/>
        </w:tabs>
        <w:kinsoku/>
        <w:wordWrap/>
        <w:overflowPunct/>
        <w:topLinePunct w:val="0"/>
        <w:autoSpaceDE/>
        <w:autoSpaceDN/>
        <w:bidi w:val="0"/>
        <w:adjustRightInd/>
        <w:spacing w:line="420" w:lineRule="exact"/>
        <w:ind w:firstLine="480" w:firstLineChars="200"/>
        <w:textAlignment w:val="auto"/>
        <w:rPr>
          <w:rFonts w:hint="eastAsia" w:ascii="宋体" w:hAnsi="宋体" w:eastAsia="宋体" w:cs="宋体"/>
          <w:color w:val="auto"/>
          <w:kern w:val="2"/>
          <w:sz w:val="24"/>
          <w:szCs w:val="24"/>
          <w:lang w:val="en-US" w:eastAsia="zh-CN" w:bidi="ar-SA"/>
        </w:rPr>
      </w:pPr>
      <w:r>
        <w:rPr>
          <w:rFonts w:hint="eastAsia"/>
          <w:sz w:val="24"/>
          <w:lang w:val="en-US" w:eastAsia="zh-CN"/>
        </w:rPr>
        <w:t>1、</w:t>
      </w:r>
      <w:r>
        <w:rPr>
          <w:rFonts w:hint="eastAsia"/>
          <w:sz w:val="24"/>
        </w:rPr>
        <w:t>按招标文件规定的各项要求</w:t>
      </w:r>
      <w:r>
        <w:rPr>
          <w:rFonts w:hint="eastAsia"/>
          <w:sz w:val="24"/>
          <w:lang w:val="en-US" w:eastAsia="zh-CN"/>
        </w:rPr>
        <w:t>提供服务</w:t>
      </w:r>
      <w:r>
        <w:rPr>
          <w:rFonts w:hint="eastAsia"/>
          <w:sz w:val="24"/>
        </w:rPr>
        <w:t>，我方投标报价</w:t>
      </w:r>
      <w:r>
        <w:rPr>
          <w:rFonts w:hint="eastAsia"/>
          <w:sz w:val="24"/>
          <w:lang w:val="en-US" w:eastAsia="zh-CN"/>
        </w:rPr>
        <w:t>如下：</w:t>
      </w:r>
      <w:r>
        <w:rPr>
          <w:rFonts w:hint="eastAsia" w:ascii="宋体" w:hAnsi="宋体" w:eastAsia="宋体" w:cs="宋体"/>
          <w:color w:val="auto"/>
          <w:kern w:val="2"/>
          <w:sz w:val="24"/>
          <w:szCs w:val="24"/>
          <w:lang w:val="en-US" w:eastAsia="zh-CN" w:bidi="ar-SA"/>
        </w:rPr>
        <w:t xml:space="preserve"> </w:t>
      </w:r>
    </w:p>
    <w:p w14:paraId="1C6E60E9">
      <w:pPr>
        <w:pStyle w:val="295"/>
        <w:keepNext w:val="0"/>
        <w:keepLines w:val="0"/>
        <w:pageBreakBefore w:val="0"/>
        <w:widowControl w:val="0"/>
        <w:numPr>
          <w:ilvl w:val="0"/>
          <w:numId w:val="0"/>
        </w:numPr>
        <w:tabs>
          <w:tab w:val="left" w:pos="1050"/>
        </w:tabs>
        <w:kinsoku/>
        <w:wordWrap/>
        <w:overflowPunct/>
        <w:topLinePunct w:val="0"/>
        <w:autoSpaceDE/>
        <w:autoSpaceDN/>
        <w:bidi w:val="0"/>
        <w:adjustRightInd/>
        <w:spacing w:line="420" w:lineRule="exact"/>
        <w:ind w:firstLine="480" w:firstLineChars="200"/>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客户评估价值在500万元（含）以内的收费标准（大写）</w:t>
      </w:r>
      <w:r>
        <w:rPr>
          <w:rFonts w:hint="eastAsia"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（CNY￥</w:t>
      </w:r>
      <w:r>
        <w:rPr>
          <w:rFonts w:hint="eastAsia"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元）</w:t>
      </w:r>
      <w:r>
        <w:rPr>
          <w:rFonts w:hint="eastAsia" w:cs="宋体"/>
          <w:color w:val="auto"/>
          <w:kern w:val="2"/>
          <w:sz w:val="24"/>
          <w:szCs w:val="24"/>
          <w:lang w:val="en-US" w:eastAsia="zh-CN" w:bidi="ar-SA"/>
        </w:rPr>
        <w:t>。</w:t>
      </w:r>
    </w:p>
    <w:p w14:paraId="082C6B21">
      <w:pPr>
        <w:pStyle w:val="295"/>
        <w:keepNext w:val="0"/>
        <w:keepLines w:val="0"/>
        <w:pageBreakBefore w:val="0"/>
        <w:widowControl w:val="0"/>
        <w:numPr>
          <w:ilvl w:val="0"/>
          <w:numId w:val="0"/>
        </w:numPr>
        <w:tabs>
          <w:tab w:val="left" w:pos="1050"/>
        </w:tabs>
        <w:kinsoku/>
        <w:wordWrap/>
        <w:overflowPunct/>
        <w:topLinePunct w:val="0"/>
        <w:autoSpaceDE/>
        <w:autoSpaceDN/>
        <w:bidi w:val="0"/>
        <w:adjustRightInd/>
        <w:spacing w:line="420" w:lineRule="exact"/>
        <w:ind w:firstLine="480" w:firstLineChars="200"/>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客户评估价值在500万元至1000万元（含）之间的收费标准（大写）</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 xml:space="preserve"> （CNY￥</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元）。</w:t>
      </w:r>
    </w:p>
    <w:p w14:paraId="18400AF4">
      <w:pPr>
        <w:pStyle w:val="295"/>
        <w:keepNext w:val="0"/>
        <w:keepLines w:val="0"/>
        <w:pageBreakBefore w:val="0"/>
        <w:widowControl w:val="0"/>
        <w:numPr>
          <w:ilvl w:val="0"/>
          <w:numId w:val="0"/>
        </w:numPr>
        <w:tabs>
          <w:tab w:val="left" w:pos="1050"/>
        </w:tabs>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客户评估价值在1000万元至3000万元（含）之间的收费标准（大写）</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（CNY￥</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元）。</w:t>
      </w:r>
    </w:p>
    <w:p w14:paraId="6F920AF0">
      <w:pPr>
        <w:pStyle w:val="295"/>
        <w:keepNext w:val="0"/>
        <w:keepLines w:val="0"/>
        <w:pageBreakBefore w:val="0"/>
        <w:widowControl w:val="0"/>
        <w:numPr>
          <w:ilvl w:val="0"/>
          <w:numId w:val="0"/>
        </w:numPr>
        <w:tabs>
          <w:tab w:val="left" w:pos="1050"/>
        </w:tabs>
        <w:kinsoku/>
        <w:wordWrap/>
        <w:overflowPunct/>
        <w:topLinePunct w:val="0"/>
        <w:autoSpaceDE/>
        <w:autoSpaceDN/>
        <w:bidi w:val="0"/>
        <w:adjustRightInd/>
        <w:spacing w:line="420" w:lineRule="exact"/>
        <w:ind w:firstLine="480" w:firstLineChars="200"/>
        <w:textAlignment w:val="auto"/>
        <w:rPr>
          <w:rFonts w:hint="eastAsia"/>
          <w:sz w:val="24"/>
        </w:rPr>
      </w:pPr>
      <w:r>
        <w:rPr>
          <w:rFonts w:hint="eastAsia" w:ascii="宋体" w:hAnsi="宋体" w:eastAsia="宋体" w:cs="宋体"/>
          <w:color w:val="auto"/>
          <w:kern w:val="2"/>
          <w:sz w:val="24"/>
          <w:szCs w:val="24"/>
          <w:lang w:val="en-US" w:eastAsia="zh-CN" w:bidi="ar-SA"/>
        </w:rPr>
        <w:t>客户评估价值在3000万元以上的收费标准（大写、人民币）</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 xml:space="preserve">（CNY￥ </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元）。</w:t>
      </w:r>
    </w:p>
    <w:p w14:paraId="0C67E252">
      <w:pPr>
        <w:keepNext w:val="0"/>
        <w:keepLines w:val="0"/>
        <w:pageBreakBefore w:val="0"/>
        <w:widowControl w:val="0"/>
        <w:tabs>
          <w:tab w:val="left" w:pos="6300"/>
        </w:tabs>
        <w:kinsoku/>
        <w:wordWrap/>
        <w:overflowPunct/>
        <w:topLinePunct w:val="0"/>
        <w:autoSpaceDE/>
        <w:autoSpaceDN/>
        <w:bidi w:val="0"/>
        <w:adjustRightInd/>
        <w:snapToGrid w:val="0"/>
        <w:spacing w:line="420" w:lineRule="exact"/>
        <w:ind w:firstLine="570"/>
        <w:textAlignment w:val="auto"/>
        <w:rPr>
          <w:rFonts w:ascii="宋体" w:hAnsi="宋体" w:cs="宋体"/>
          <w:sz w:val="24"/>
        </w:rPr>
      </w:pPr>
      <w:r>
        <w:rPr>
          <w:rFonts w:hint="eastAsia" w:ascii="宋体" w:hAnsi="宋体" w:cs="宋体"/>
          <w:sz w:val="24"/>
        </w:rPr>
        <w:t>2、我们接受招标文件的所有的条款和规定。</w:t>
      </w:r>
    </w:p>
    <w:p w14:paraId="086214A5">
      <w:pPr>
        <w:keepNext w:val="0"/>
        <w:keepLines w:val="0"/>
        <w:pageBreakBefore w:val="0"/>
        <w:widowControl w:val="0"/>
        <w:tabs>
          <w:tab w:val="left" w:pos="6300"/>
        </w:tabs>
        <w:kinsoku/>
        <w:wordWrap/>
        <w:overflowPunct/>
        <w:topLinePunct w:val="0"/>
        <w:autoSpaceDE/>
        <w:autoSpaceDN/>
        <w:bidi w:val="0"/>
        <w:adjustRightInd/>
        <w:snapToGrid w:val="0"/>
        <w:spacing w:line="420" w:lineRule="exact"/>
        <w:ind w:firstLine="570"/>
        <w:textAlignment w:val="auto"/>
        <w:rPr>
          <w:rFonts w:ascii="宋体" w:hAnsi="宋体" w:cs="宋体"/>
          <w:sz w:val="24"/>
        </w:rPr>
      </w:pPr>
      <w:r>
        <w:rPr>
          <w:rFonts w:hint="eastAsia" w:ascii="宋体" w:hAnsi="宋体" w:cs="宋体"/>
          <w:sz w:val="24"/>
        </w:rPr>
        <w:t xml:space="preserve">3、我们同意按照招标文件的规定，本投标文件的有效期为从开标之日期起计算的九十天，在此期间，本投标文件将始终对我们具有约束力，并可随时被接受。如果我们中标，本投标文件在此期间之后将继续保持有效。 </w:t>
      </w:r>
    </w:p>
    <w:p w14:paraId="35BEC1E7">
      <w:pPr>
        <w:keepNext w:val="0"/>
        <w:keepLines w:val="0"/>
        <w:pageBreakBefore w:val="0"/>
        <w:widowControl w:val="0"/>
        <w:tabs>
          <w:tab w:val="left" w:pos="6300"/>
        </w:tabs>
        <w:kinsoku/>
        <w:wordWrap/>
        <w:overflowPunct/>
        <w:topLinePunct w:val="0"/>
        <w:autoSpaceDE/>
        <w:autoSpaceDN/>
        <w:bidi w:val="0"/>
        <w:adjustRightInd/>
        <w:snapToGrid w:val="0"/>
        <w:spacing w:line="420" w:lineRule="exact"/>
        <w:ind w:firstLine="570"/>
        <w:textAlignment w:val="auto"/>
        <w:rPr>
          <w:rFonts w:ascii="宋体" w:hAnsi="宋体" w:cs="宋体"/>
          <w:sz w:val="24"/>
        </w:rPr>
      </w:pPr>
      <w:r>
        <w:rPr>
          <w:rFonts w:hint="eastAsia" w:ascii="宋体" w:hAnsi="宋体" w:cs="宋体"/>
          <w:sz w:val="24"/>
        </w:rPr>
        <w:t>4、我们理解，你们无义务必须接受投标价最低的投标。同时也理解你们不承担我们本次投标的费用。</w:t>
      </w:r>
    </w:p>
    <w:p w14:paraId="72218B17">
      <w:pPr>
        <w:keepNext w:val="0"/>
        <w:keepLines w:val="0"/>
        <w:pageBreakBefore w:val="0"/>
        <w:widowControl w:val="0"/>
        <w:tabs>
          <w:tab w:val="left" w:pos="6300"/>
        </w:tabs>
        <w:kinsoku/>
        <w:wordWrap/>
        <w:overflowPunct/>
        <w:topLinePunct w:val="0"/>
        <w:autoSpaceDE/>
        <w:autoSpaceDN/>
        <w:bidi w:val="0"/>
        <w:adjustRightInd/>
        <w:snapToGrid w:val="0"/>
        <w:spacing w:line="420" w:lineRule="exact"/>
        <w:ind w:firstLine="570"/>
        <w:textAlignment w:val="auto"/>
        <w:rPr>
          <w:rFonts w:ascii="宋体" w:hAnsi="宋体" w:cs="宋体"/>
          <w:sz w:val="24"/>
        </w:rPr>
      </w:pPr>
      <w:r>
        <w:rPr>
          <w:rFonts w:hint="eastAsia" w:ascii="宋体" w:hAnsi="宋体" w:cs="宋体"/>
          <w:sz w:val="24"/>
        </w:rPr>
        <w:t>5、我们同意向贵方提供贵方可能要求的与投标有关的任何证据或资料，并保证所提供的都是真实的、准确的。</w:t>
      </w:r>
    </w:p>
    <w:p w14:paraId="0BE1D8D6">
      <w:pPr>
        <w:pStyle w:val="23"/>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Ansi="宋体" w:cs="宋体"/>
          <w:sz w:val="24"/>
          <w:szCs w:val="24"/>
        </w:rPr>
      </w:pPr>
      <w:r>
        <w:rPr>
          <w:rFonts w:hint="eastAsia" w:hAnsi="宋体" w:cs="宋体"/>
          <w:sz w:val="24"/>
          <w:szCs w:val="24"/>
        </w:rPr>
        <w:t>6、一旦我方中标，我方将根据招标文件的规定，严格履行合同的责任和义务，。</w:t>
      </w:r>
    </w:p>
    <w:p w14:paraId="7248375F">
      <w:pPr>
        <w:pStyle w:val="23"/>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Ansi="宋体" w:cs="宋体"/>
          <w:sz w:val="24"/>
          <w:szCs w:val="24"/>
        </w:rPr>
      </w:pPr>
      <w:r>
        <w:rPr>
          <w:rFonts w:hint="eastAsia" w:hAnsi="宋体" w:cs="宋体"/>
          <w:sz w:val="24"/>
          <w:szCs w:val="24"/>
        </w:rPr>
        <w:t>7、我们没有为本项目提供整体设计、规范编制或者项目管理、检测等服务。</w:t>
      </w:r>
    </w:p>
    <w:p w14:paraId="5781291A">
      <w:pPr>
        <w:pStyle w:val="23"/>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Ansi="宋体" w:cs="宋体"/>
          <w:sz w:val="24"/>
          <w:szCs w:val="24"/>
        </w:rPr>
      </w:pPr>
      <w:r>
        <w:rPr>
          <w:rFonts w:hint="eastAsia" w:hAnsi="宋体" w:cs="宋体"/>
          <w:sz w:val="24"/>
          <w:szCs w:val="24"/>
        </w:rPr>
        <w:t>投标人名称（公章）：</w:t>
      </w:r>
    </w:p>
    <w:p w14:paraId="1112B260">
      <w:pPr>
        <w:pStyle w:val="23"/>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Ansi="宋体" w:cs="宋体"/>
          <w:sz w:val="24"/>
          <w:szCs w:val="24"/>
        </w:rPr>
      </w:pPr>
      <w:r>
        <w:rPr>
          <w:rFonts w:hint="eastAsia" w:hAnsi="宋体" w:cs="宋体"/>
          <w:sz w:val="24"/>
          <w:szCs w:val="24"/>
        </w:rPr>
        <w:t>地址：      邮编：</w:t>
      </w:r>
    </w:p>
    <w:p w14:paraId="1551BDE2">
      <w:pPr>
        <w:pStyle w:val="23"/>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Ansi="宋体" w:cs="宋体"/>
          <w:sz w:val="24"/>
          <w:szCs w:val="24"/>
        </w:rPr>
      </w:pPr>
      <w:r>
        <w:rPr>
          <w:rFonts w:hint="eastAsia" w:hAnsi="宋体" w:cs="宋体"/>
          <w:sz w:val="24"/>
          <w:szCs w:val="24"/>
        </w:rPr>
        <w:t>电话：      传真：</w:t>
      </w:r>
    </w:p>
    <w:p w14:paraId="7BEE32A2">
      <w:pPr>
        <w:pStyle w:val="23"/>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Ansi="宋体" w:cs="宋体"/>
          <w:sz w:val="24"/>
          <w:szCs w:val="24"/>
        </w:rPr>
      </w:pPr>
      <w:r>
        <w:rPr>
          <w:rFonts w:hint="eastAsia" w:hAnsi="宋体" w:cs="宋体"/>
          <w:sz w:val="24"/>
          <w:szCs w:val="24"/>
        </w:rPr>
        <w:t>法定代表人（委托受托人）签字：</w:t>
      </w:r>
    </w:p>
    <w:p w14:paraId="7C195F25">
      <w:pPr>
        <w:pStyle w:val="23"/>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Ansi="宋体" w:cs="宋体"/>
          <w:sz w:val="24"/>
          <w:szCs w:val="24"/>
        </w:rPr>
      </w:pPr>
      <w:r>
        <w:rPr>
          <w:rFonts w:hint="eastAsia" w:hAnsi="宋体" w:cs="宋体"/>
          <w:sz w:val="24"/>
          <w:szCs w:val="24"/>
        </w:rPr>
        <w:t>职务：</w:t>
      </w:r>
    </w:p>
    <w:p w14:paraId="7463F6AA">
      <w:pPr>
        <w:pStyle w:val="23"/>
        <w:keepNext w:val="0"/>
        <w:keepLines w:val="0"/>
        <w:pageBreakBefore w:val="0"/>
        <w:widowControl w:val="0"/>
        <w:kinsoku/>
        <w:wordWrap/>
        <w:overflowPunct/>
        <w:topLinePunct w:val="0"/>
        <w:autoSpaceDE/>
        <w:autoSpaceDN/>
        <w:bidi w:val="0"/>
        <w:adjustRightInd/>
        <w:spacing w:line="420" w:lineRule="exact"/>
        <w:ind w:firstLine="480" w:firstLineChars="200"/>
        <w:textAlignment w:val="auto"/>
        <w:rPr>
          <w:rFonts w:hAnsi="宋体" w:cs="宋体"/>
          <w:sz w:val="24"/>
          <w:szCs w:val="24"/>
        </w:rPr>
      </w:pPr>
      <w:r>
        <w:rPr>
          <w:rFonts w:hint="eastAsia" w:hAnsi="宋体" w:cs="宋体"/>
          <w:sz w:val="24"/>
          <w:szCs w:val="24"/>
        </w:rPr>
        <w:t>日期：</w:t>
      </w:r>
    </w:p>
    <w:p w14:paraId="39FACB13">
      <w:pPr>
        <w:keepNext w:val="0"/>
        <w:keepLines w:val="0"/>
        <w:pageBreakBefore w:val="0"/>
        <w:widowControl w:val="0"/>
        <w:kinsoku/>
        <w:wordWrap/>
        <w:overflowPunct/>
        <w:topLinePunct w:val="0"/>
        <w:autoSpaceDE/>
        <w:autoSpaceDN/>
        <w:bidi w:val="0"/>
        <w:adjustRightInd/>
        <w:spacing w:line="420" w:lineRule="exact"/>
        <w:ind w:firstLine="472" w:firstLineChars="196"/>
        <w:textAlignment w:val="auto"/>
        <w:rPr>
          <w:rFonts w:ascii="宋体" w:cs="宋体"/>
          <w:b/>
          <w:sz w:val="24"/>
        </w:rPr>
      </w:pPr>
      <w:r>
        <w:rPr>
          <w:rFonts w:hint="eastAsia" w:ascii="宋体" w:cs="宋体"/>
          <w:b/>
          <w:sz w:val="24"/>
        </w:rPr>
        <w:t>现场开标的供应商准备</w:t>
      </w:r>
      <w:r>
        <w:rPr>
          <w:rFonts w:hint="eastAsia" w:ascii="宋体" w:cs="宋体"/>
          <w:b/>
          <w:sz w:val="24"/>
          <w:lang w:val="en-US" w:eastAsia="zh-CN"/>
        </w:rPr>
        <w:t>2</w:t>
      </w:r>
      <w:r>
        <w:rPr>
          <w:rFonts w:hint="eastAsia" w:ascii="宋体" w:cs="宋体"/>
          <w:b/>
          <w:sz w:val="24"/>
        </w:rPr>
        <w:t>张空白磋商函（必须盖章签字），便于现场填写磋商报价。</w:t>
      </w:r>
    </w:p>
    <w:p w14:paraId="654D605B">
      <w:pPr>
        <w:jc w:val="center"/>
        <w:rPr>
          <w:rFonts w:ascii="宋体" w:cs="宋体"/>
          <w:b/>
          <w:sz w:val="24"/>
        </w:rPr>
      </w:pPr>
    </w:p>
    <w:p w14:paraId="647675B2">
      <w:pPr>
        <w:jc w:val="center"/>
        <w:rPr>
          <w:rFonts w:ascii="宋体" w:cs="宋体"/>
          <w:b/>
          <w:sz w:val="24"/>
        </w:rPr>
      </w:pPr>
    </w:p>
    <w:p w14:paraId="4475D7DF">
      <w:pPr>
        <w:jc w:val="center"/>
        <w:rPr>
          <w:rFonts w:ascii="宋体" w:cs="宋体"/>
          <w:b/>
          <w:sz w:val="24"/>
        </w:rPr>
      </w:pPr>
    </w:p>
    <w:p w14:paraId="77E76BD6">
      <w:pPr>
        <w:widowControl/>
        <w:spacing w:before="19" w:line="360" w:lineRule="auto"/>
        <w:ind w:firstLine="643" w:firstLineChars="200"/>
        <w:jc w:val="center"/>
        <w:rPr>
          <w:rFonts w:ascii="宋体" w:hAnsi="宋体" w:cs="宋体"/>
          <w:b/>
          <w:sz w:val="32"/>
        </w:rPr>
      </w:pPr>
      <w:bookmarkStart w:id="39" w:name="_Hlk38789746"/>
      <w:r>
        <w:rPr>
          <w:rFonts w:hint="eastAsia" w:ascii="宋体" w:hAnsi="宋体" w:cs="宋体"/>
          <w:b/>
          <w:sz w:val="32"/>
        </w:rPr>
        <w:t>二、开标一览表</w:t>
      </w:r>
    </w:p>
    <w:p w14:paraId="0420EB2E">
      <w:pPr>
        <w:pStyle w:val="64"/>
        <w:ind w:firstLine="420"/>
      </w:pPr>
    </w:p>
    <w:tbl>
      <w:tblPr>
        <w:tblStyle w:val="46"/>
        <w:tblpPr w:leftFromText="180" w:rightFromText="180" w:vertAnchor="text" w:horzAnchor="margin" w:tblpXSpec="center" w:tblpY="225"/>
        <w:tblW w:w="864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91"/>
        <w:gridCol w:w="6652"/>
      </w:tblGrid>
      <w:tr w14:paraId="0FA7FB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51" w:hRule="atLeast"/>
        </w:trPr>
        <w:tc>
          <w:tcPr>
            <w:tcW w:w="1991" w:type="dxa"/>
            <w:vAlign w:val="center"/>
          </w:tcPr>
          <w:p w14:paraId="7DEAEFB1">
            <w:pPr>
              <w:spacing w:line="600" w:lineRule="exact"/>
              <w:jc w:val="center"/>
              <w:rPr>
                <w:rFonts w:ascii="宋体" w:hAnsi="宋体" w:cs="宋体"/>
                <w:sz w:val="28"/>
                <w:szCs w:val="28"/>
              </w:rPr>
            </w:pPr>
            <w:r>
              <w:rPr>
                <w:rFonts w:hint="eastAsia" w:ascii="宋体" w:hAnsi="宋体" w:cs="宋体"/>
                <w:sz w:val="28"/>
                <w:szCs w:val="28"/>
              </w:rPr>
              <w:t>项目编号</w:t>
            </w:r>
          </w:p>
          <w:p w14:paraId="38FA4B0B">
            <w:pPr>
              <w:spacing w:line="600" w:lineRule="exact"/>
              <w:jc w:val="center"/>
              <w:rPr>
                <w:rFonts w:ascii="宋体" w:hAnsi="宋体" w:cs="宋体"/>
                <w:sz w:val="28"/>
                <w:szCs w:val="28"/>
              </w:rPr>
            </w:pPr>
            <w:r>
              <w:rPr>
                <w:rFonts w:hint="eastAsia" w:ascii="宋体" w:hAnsi="宋体" w:cs="宋体"/>
                <w:sz w:val="28"/>
                <w:szCs w:val="28"/>
              </w:rPr>
              <w:t>及名称</w:t>
            </w:r>
          </w:p>
        </w:tc>
        <w:tc>
          <w:tcPr>
            <w:tcW w:w="6652" w:type="dxa"/>
            <w:vAlign w:val="center"/>
          </w:tcPr>
          <w:p w14:paraId="751DB4A4">
            <w:pPr>
              <w:spacing w:line="600" w:lineRule="exact"/>
              <w:jc w:val="center"/>
              <w:rPr>
                <w:rFonts w:ascii="宋体" w:hAnsi="宋体" w:cs="宋体"/>
                <w:sz w:val="24"/>
                <w:u w:val="single"/>
              </w:rPr>
            </w:pPr>
          </w:p>
        </w:tc>
      </w:tr>
      <w:tr w14:paraId="1E3504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214" w:hRule="atLeast"/>
        </w:trPr>
        <w:tc>
          <w:tcPr>
            <w:tcW w:w="1991" w:type="dxa"/>
            <w:vAlign w:val="center"/>
          </w:tcPr>
          <w:p w14:paraId="3A551FEB">
            <w:pPr>
              <w:spacing w:line="500" w:lineRule="exact"/>
              <w:rPr>
                <w:rFonts w:ascii="宋体" w:hAnsi="宋体" w:cs="宋体"/>
                <w:bCs/>
                <w:sz w:val="24"/>
              </w:rPr>
            </w:pPr>
            <w:r>
              <w:rPr>
                <w:rFonts w:hint="eastAsia" w:ascii="宋体" w:hAnsi="宋体" w:cs="宋体"/>
                <w:bCs/>
                <w:sz w:val="24"/>
              </w:rPr>
              <w:t>报价</w:t>
            </w:r>
          </w:p>
        </w:tc>
        <w:tc>
          <w:tcPr>
            <w:tcW w:w="6652" w:type="dxa"/>
            <w:vAlign w:val="center"/>
          </w:tcPr>
          <w:p w14:paraId="29A10226">
            <w:pPr>
              <w:pStyle w:val="295"/>
              <w:keepNext w:val="0"/>
              <w:keepLines w:val="0"/>
              <w:pageBreakBefore w:val="0"/>
              <w:widowControl w:val="0"/>
              <w:numPr>
                <w:ilvl w:val="0"/>
                <w:numId w:val="0"/>
              </w:numPr>
              <w:tabs>
                <w:tab w:val="left" w:pos="1050"/>
              </w:tabs>
              <w:kinsoku/>
              <w:wordWrap/>
              <w:overflowPunct/>
              <w:topLinePunct w:val="0"/>
              <w:autoSpaceDE/>
              <w:autoSpaceDN/>
              <w:bidi w:val="0"/>
              <w:adjustRightInd/>
              <w:spacing w:line="420" w:lineRule="exact"/>
              <w:ind w:firstLine="480" w:firstLineChars="200"/>
              <w:textAlignment w:val="auto"/>
              <w:rPr>
                <w:rFonts w:hint="eastAsia" w:ascii="宋体" w:hAnsi="宋体" w:eastAsia="宋体" w:cs="宋体"/>
                <w:color w:val="auto"/>
                <w:kern w:val="2"/>
                <w:sz w:val="24"/>
                <w:szCs w:val="24"/>
                <w:lang w:val="en-US" w:eastAsia="zh-CN" w:bidi="ar-SA"/>
              </w:rPr>
            </w:pPr>
            <w:r>
              <w:rPr>
                <w:rFonts w:hint="eastAsia" w:ascii="宋体" w:hAnsi="宋体" w:cs="宋体"/>
                <w:bCs/>
                <w:sz w:val="24"/>
              </w:rPr>
              <w:t xml:space="preserve"> </w:t>
            </w:r>
            <w:r>
              <w:rPr>
                <w:rFonts w:hint="eastAsia" w:ascii="宋体" w:hAnsi="宋体" w:eastAsia="宋体" w:cs="宋体"/>
                <w:color w:val="auto"/>
                <w:kern w:val="2"/>
                <w:sz w:val="24"/>
                <w:szCs w:val="24"/>
                <w:lang w:val="en-US" w:eastAsia="zh-CN" w:bidi="ar-SA"/>
              </w:rPr>
              <w:t>客户评估价值在500万元（含）以内的收费标准（大写）</w:t>
            </w:r>
            <w:r>
              <w:rPr>
                <w:rFonts w:hint="eastAsia"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（CNY￥</w:t>
            </w:r>
            <w:r>
              <w:rPr>
                <w:rFonts w:hint="eastAsia"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元）</w:t>
            </w:r>
            <w:r>
              <w:rPr>
                <w:rFonts w:hint="eastAsia" w:cs="宋体"/>
                <w:color w:val="auto"/>
                <w:kern w:val="2"/>
                <w:sz w:val="24"/>
                <w:szCs w:val="24"/>
                <w:lang w:val="en-US" w:eastAsia="zh-CN" w:bidi="ar-SA"/>
              </w:rPr>
              <w:t>。</w:t>
            </w:r>
          </w:p>
          <w:p w14:paraId="19023475">
            <w:pPr>
              <w:pStyle w:val="295"/>
              <w:keepNext w:val="0"/>
              <w:keepLines w:val="0"/>
              <w:pageBreakBefore w:val="0"/>
              <w:widowControl w:val="0"/>
              <w:numPr>
                <w:ilvl w:val="0"/>
                <w:numId w:val="0"/>
              </w:numPr>
              <w:tabs>
                <w:tab w:val="left" w:pos="1050"/>
              </w:tabs>
              <w:kinsoku/>
              <w:wordWrap/>
              <w:overflowPunct/>
              <w:topLinePunct w:val="0"/>
              <w:autoSpaceDE/>
              <w:autoSpaceDN/>
              <w:bidi w:val="0"/>
              <w:adjustRightInd/>
              <w:spacing w:line="420" w:lineRule="exact"/>
              <w:ind w:firstLine="480" w:firstLineChars="200"/>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客户评估价值在500万元至1000万元（含）之间的收费标准（大写）</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 xml:space="preserve"> （CNY￥</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元）。</w:t>
            </w:r>
          </w:p>
          <w:p w14:paraId="357897D5">
            <w:pPr>
              <w:pStyle w:val="295"/>
              <w:keepNext w:val="0"/>
              <w:keepLines w:val="0"/>
              <w:pageBreakBefore w:val="0"/>
              <w:widowControl w:val="0"/>
              <w:numPr>
                <w:ilvl w:val="0"/>
                <w:numId w:val="0"/>
              </w:numPr>
              <w:tabs>
                <w:tab w:val="left" w:pos="1050"/>
              </w:tabs>
              <w:kinsoku/>
              <w:wordWrap/>
              <w:overflowPunct/>
              <w:topLinePunct w:val="0"/>
              <w:autoSpaceDE/>
              <w:autoSpaceDN/>
              <w:bidi w:val="0"/>
              <w:adjustRightInd/>
              <w:snapToGrid/>
              <w:spacing w:line="420" w:lineRule="exact"/>
              <w:ind w:left="0" w:leftChars="0" w:firstLine="480" w:firstLineChars="200"/>
              <w:jc w:val="left"/>
              <w:textAlignment w:val="auto"/>
              <w:rPr>
                <w:rFonts w:hint="eastAsia" w:ascii="宋体" w:hAnsi="宋体" w:eastAsia="宋体" w:cs="宋体"/>
                <w:color w:val="auto"/>
                <w:kern w:val="2"/>
                <w:sz w:val="24"/>
                <w:szCs w:val="24"/>
                <w:lang w:val="en-US" w:eastAsia="zh-CN" w:bidi="ar-SA"/>
              </w:rPr>
            </w:pPr>
            <w:r>
              <w:rPr>
                <w:rFonts w:hint="eastAsia" w:ascii="宋体" w:hAnsi="宋体" w:eastAsia="宋体" w:cs="宋体"/>
                <w:color w:val="auto"/>
                <w:kern w:val="2"/>
                <w:sz w:val="24"/>
                <w:szCs w:val="24"/>
                <w:lang w:val="en-US" w:eastAsia="zh-CN" w:bidi="ar-SA"/>
              </w:rPr>
              <w:t>客户评估价值在1000万元至3000万元（含）之间的收费标准（大写）</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（CNY￥</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元）。</w:t>
            </w:r>
          </w:p>
          <w:p w14:paraId="0A024239">
            <w:pPr>
              <w:pStyle w:val="295"/>
              <w:keepNext w:val="0"/>
              <w:keepLines w:val="0"/>
              <w:pageBreakBefore w:val="0"/>
              <w:widowControl w:val="0"/>
              <w:numPr>
                <w:ilvl w:val="0"/>
                <w:numId w:val="0"/>
              </w:numPr>
              <w:tabs>
                <w:tab w:val="left" w:pos="1050"/>
              </w:tabs>
              <w:kinsoku/>
              <w:wordWrap/>
              <w:overflowPunct/>
              <w:topLinePunct w:val="0"/>
              <w:autoSpaceDE/>
              <w:autoSpaceDN/>
              <w:bidi w:val="0"/>
              <w:adjustRightInd/>
              <w:spacing w:line="420" w:lineRule="exact"/>
              <w:ind w:firstLine="480" w:firstLineChars="200"/>
              <w:textAlignment w:val="auto"/>
              <w:rPr>
                <w:rFonts w:ascii="宋体" w:hAnsi="宋体" w:cs="宋体"/>
                <w:bCs/>
                <w:sz w:val="24"/>
              </w:rPr>
            </w:pPr>
            <w:r>
              <w:rPr>
                <w:rFonts w:hint="eastAsia" w:ascii="宋体" w:hAnsi="宋体" w:eastAsia="宋体" w:cs="宋体"/>
                <w:color w:val="auto"/>
                <w:kern w:val="2"/>
                <w:sz w:val="24"/>
                <w:szCs w:val="24"/>
                <w:lang w:val="en-US" w:eastAsia="zh-CN" w:bidi="ar-SA"/>
              </w:rPr>
              <w:t>客户评估价值在3000万元以上的收费标准（大写、人民币）</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 xml:space="preserve">（CNY￥ </w:t>
            </w:r>
            <w:r>
              <w:rPr>
                <w:rFonts w:hint="eastAsia" w:ascii="宋体" w:hAnsi="宋体" w:eastAsia="宋体" w:cs="宋体"/>
                <w:color w:val="auto"/>
                <w:kern w:val="2"/>
                <w:sz w:val="24"/>
                <w:szCs w:val="24"/>
                <w:u w:val="single"/>
                <w:lang w:val="en-US" w:eastAsia="zh-CN" w:bidi="ar-SA"/>
              </w:rPr>
              <w:t xml:space="preserve">         </w:t>
            </w:r>
            <w:r>
              <w:rPr>
                <w:rFonts w:hint="eastAsia" w:ascii="宋体" w:hAnsi="宋体" w:eastAsia="宋体" w:cs="宋体"/>
                <w:color w:val="auto"/>
                <w:kern w:val="2"/>
                <w:sz w:val="24"/>
                <w:szCs w:val="24"/>
                <w:lang w:val="en-US" w:eastAsia="zh-CN" w:bidi="ar-SA"/>
              </w:rPr>
              <w:t>元）。</w:t>
            </w:r>
          </w:p>
        </w:tc>
      </w:tr>
      <w:tr w14:paraId="10A123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80" w:hRule="atLeast"/>
        </w:trPr>
        <w:tc>
          <w:tcPr>
            <w:tcW w:w="1991" w:type="dxa"/>
            <w:vAlign w:val="center"/>
          </w:tcPr>
          <w:p w14:paraId="7303F11F">
            <w:pPr>
              <w:spacing w:line="600" w:lineRule="exact"/>
              <w:jc w:val="center"/>
              <w:rPr>
                <w:rFonts w:ascii="宋体" w:hAnsi="宋体" w:cs="宋体"/>
                <w:sz w:val="28"/>
                <w:szCs w:val="28"/>
              </w:rPr>
            </w:pPr>
            <w:r>
              <w:rPr>
                <w:rFonts w:hint="eastAsia" w:ascii="宋体" w:hAnsi="宋体" w:cs="宋体"/>
                <w:sz w:val="28"/>
                <w:szCs w:val="28"/>
              </w:rPr>
              <w:t>合同履行期限</w:t>
            </w:r>
          </w:p>
        </w:tc>
        <w:tc>
          <w:tcPr>
            <w:tcW w:w="6652" w:type="dxa"/>
            <w:vAlign w:val="center"/>
          </w:tcPr>
          <w:p w14:paraId="79461504">
            <w:pPr>
              <w:spacing w:line="600" w:lineRule="exact"/>
              <w:jc w:val="left"/>
              <w:rPr>
                <w:rFonts w:ascii="宋体" w:hAnsi="宋体" w:cs="宋体"/>
                <w:bCs/>
                <w:sz w:val="28"/>
                <w:szCs w:val="28"/>
              </w:rPr>
            </w:pPr>
          </w:p>
        </w:tc>
      </w:tr>
      <w:tr w14:paraId="5B45CD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68" w:hRule="atLeast"/>
        </w:trPr>
        <w:tc>
          <w:tcPr>
            <w:tcW w:w="1991" w:type="dxa"/>
            <w:vAlign w:val="center"/>
          </w:tcPr>
          <w:p w14:paraId="10EA3819">
            <w:pPr>
              <w:spacing w:line="600" w:lineRule="exact"/>
              <w:jc w:val="center"/>
              <w:rPr>
                <w:rFonts w:ascii="宋体" w:hAnsi="宋体" w:cs="宋体"/>
                <w:sz w:val="28"/>
                <w:szCs w:val="28"/>
              </w:rPr>
            </w:pPr>
            <w:r>
              <w:rPr>
                <w:rFonts w:hint="eastAsia" w:ascii="宋体" w:hAnsi="宋体" w:cs="宋体"/>
                <w:sz w:val="28"/>
                <w:szCs w:val="28"/>
              </w:rPr>
              <w:t>备 注</w:t>
            </w:r>
          </w:p>
        </w:tc>
        <w:tc>
          <w:tcPr>
            <w:tcW w:w="6652" w:type="dxa"/>
            <w:vAlign w:val="center"/>
          </w:tcPr>
          <w:p w14:paraId="0476C3E5">
            <w:pPr>
              <w:spacing w:line="400" w:lineRule="exact"/>
              <w:jc w:val="center"/>
              <w:rPr>
                <w:rFonts w:ascii="宋体" w:hAnsi="宋体" w:cs="宋体"/>
                <w:b/>
                <w:bCs/>
                <w:sz w:val="32"/>
                <w:szCs w:val="32"/>
              </w:rPr>
            </w:pPr>
          </w:p>
        </w:tc>
      </w:tr>
    </w:tbl>
    <w:p w14:paraId="1FDB59E2">
      <w:pPr>
        <w:spacing w:line="560" w:lineRule="exact"/>
        <w:rPr>
          <w:rFonts w:ascii="宋体" w:hAnsi="宋体" w:cs="宋体"/>
          <w:sz w:val="32"/>
          <w:szCs w:val="32"/>
        </w:rPr>
      </w:pPr>
    </w:p>
    <w:p w14:paraId="3D140659">
      <w:pPr>
        <w:spacing w:line="560" w:lineRule="exact"/>
        <w:ind w:firstLine="480" w:firstLineChars="200"/>
        <w:rPr>
          <w:rFonts w:ascii="宋体" w:hAnsi="宋体" w:cs="宋体"/>
          <w:sz w:val="24"/>
        </w:rPr>
      </w:pPr>
      <w:r>
        <w:rPr>
          <w:rFonts w:hint="eastAsia" w:ascii="宋体" w:hAnsi="宋体" w:cs="宋体"/>
          <w:sz w:val="24"/>
        </w:rPr>
        <w:t>单位公章：                   法定代表人（或授权代表）签字或盖章：</w:t>
      </w:r>
    </w:p>
    <w:p w14:paraId="4444569A">
      <w:pPr>
        <w:spacing w:line="560" w:lineRule="exact"/>
        <w:ind w:firstLine="480" w:firstLineChars="200"/>
        <w:rPr>
          <w:rFonts w:ascii="宋体" w:hAnsi="宋体" w:cs="宋体"/>
          <w:sz w:val="24"/>
        </w:rPr>
      </w:pPr>
      <w:r>
        <w:rPr>
          <w:rFonts w:hint="eastAsia" w:ascii="宋体" w:hAnsi="宋体" w:cs="宋体"/>
          <w:sz w:val="24"/>
        </w:rPr>
        <w:t>时间： 年  月  日</w:t>
      </w:r>
    </w:p>
    <w:p w14:paraId="0CBB3CB9">
      <w:pPr>
        <w:widowControl/>
        <w:spacing w:before="19" w:line="360" w:lineRule="auto"/>
        <w:ind w:firstLine="480" w:firstLineChars="200"/>
        <w:jc w:val="center"/>
        <w:rPr>
          <w:rFonts w:ascii="宋体" w:hAnsi="宋体" w:cs="宋体"/>
          <w:sz w:val="24"/>
        </w:rPr>
      </w:pPr>
      <w:r>
        <w:rPr>
          <w:rFonts w:hint="eastAsia" w:ascii="宋体" w:hAnsi="宋体" w:cs="宋体"/>
          <w:sz w:val="24"/>
        </w:rPr>
        <w:t xml:space="preserve"> </w:t>
      </w:r>
    </w:p>
    <w:p w14:paraId="06153278">
      <w:pPr>
        <w:widowControl/>
        <w:spacing w:before="19" w:line="360" w:lineRule="auto"/>
        <w:ind w:firstLine="480" w:firstLineChars="200"/>
        <w:jc w:val="center"/>
        <w:rPr>
          <w:rFonts w:ascii="宋体" w:hAnsi="宋体" w:cs="宋体"/>
          <w:sz w:val="24"/>
        </w:rPr>
      </w:pPr>
    </w:p>
    <w:p w14:paraId="763DCDFA">
      <w:pPr>
        <w:widowControl/>
        <w:spacing w:before="19" w:line="360" w:lineRule="auto"/>
        <w:ind w:firstLine="480" w:firstLineChars="200"/>
        <w:jc w:val="center"/>
        <w:rPr>
          <w:rFonts w:ascii="宋体" w:hAnsi="宋体" w:cs="宋体"/>
          <w:sz w:val="24"/>
        </w:rPr>
      </w:pPr>
    </w:p>
    <w:p w14:paraId="3C13EC5A">
      <w:pPr>
        <w:widowControl/>
        <w:spacing w:before="19" w:line="360" w:lineRule="auto"/>
        <w:ind w:firstLine="480" w:firstLineChars="200"/>
        <w:jc w:val="center"/>
        <w:rPr>
          <w:rFonts w:ascii="宋体" w:hAnsi="宋体" w:cs="宋体"/>
          <w:sz w:val="24"/>
        </w:rPr>
      </w:pPr>
    </w:p>
    <w:p w14:paraId="635F0E56">
      <w:pPr>
        <w:pStyle w:val="64"/>
        <w:ind w:firstLine="420"/>
      </w:pPr>
    </w:p>
    <w:p w14:paraId="50B5EAAF">
      <w:pPr>
        <w:pStyle w:val="64"/>
        <w:ind w:firstLine="420"/>
      </w:pPr>
    </w:p>
    <w:p w14:paraId="6DF91590">
      <w:pPr>
        <w:pStyle w:val="64"/>
        <w:ind w:firstLine="420"/>
      </w:pPr>
    </w:p>
    <w:tbl>
      <w:tblPr>
        <w:tblStyle w:val="46"/>
        <w:tblW w:w="9218" w:type="dxa"/>
        <w:tblInd w:w="97" w:type="dxa"/>
        <w:tblLayout w:type="autofit"/>
        <w:tblCellMar>
          <w:top w:w="0" w:type="dxa"/>
          <w:left w:w="108" w:type="dxa"/>
          <w:bottom w:w="0" w:type="dxa"/>
          <w:right w:w="108" w:type="dxa"/>
        </w:tblCellMar>
      </w:tblPr>
      <w:tblGrid>
        <w:gridCol w:w="456"/>
        <w:gridCol w:w="2185"/>
        <w:gridCol w:w="1944"/>
        <w:gridCol w:w="653"/>
        <w:gridCol w:w="800"/>
        <w:gridCol w:w="1080"/>
        <w:gridCol w:w="1120"/>
        <w:gridCol w:w="1000"/>
      </w:tblGrid>
      <w:tr w14:paraId="7BD872E1">
        <w:tblPrEx>
          <w:tblCellMar>
            <w:top w:w="0" w:type="dxa"/>
            <w:left w:w="108" w:type="dxa"/>
            <w:bottom w:w="0" w:type="dxa"/>
            <w:right w:w="108" w:type="dxa"/>
          </w:tblCellMar>
        </w:tblPrEx>
        <w:trPr>
          <w:trHeight w:val="580" w:hRule="atLeast"/>
        </w:trPr>
        <w:tc>
          <w:tcPr>
            <w:tcW w:w="9218" w:type="dxa"/>
            <w:gridSpan w:val="8"/>
            <w:tcBorders>
              <w:top w:val="nil"/>
              <w:left w:val="nil"/>
              <w:bottom w:val="nil"/>
              <w:right w:val="nil"/>
            </w:tcBorders>
            <w:shd w:val="clear" w:color="auto" w:fill="FFFFFF" w:themeFill="background1"/>
            <w:vAlign w:val="center"/>
          </w:tcPr>
          <w:p w14:paraId="07BD14ED">
            <w:pPr>
              <w:widowControl/>
              <w:jc w:val="center"/>
              <w:rPr>
                <w:rFonts w:ascii="宋体" w:hAnsi="宋体" w:cs="宋体"/>
                <w:b/>
                <w:sz w:val="24"/>
              </w:rPr>
            </w:pPr>
            <w:r>
              <w:rPr>
                <w:rFonts w:hint="eastAsia" w:ascii="宋体" w:hAnsi="宋体" w:cs="宋体"/>
                <w:color w:val="000000"/>
                <w:kern w:val="0"/>
                <w:sz w:val="24"/>
              </w:rPr>
              <w:t>三、</w:t>
            </w:r>
            <w:bookmarkEnd w:id="39"/>
            <w:bookmarkStart w:id="40" w:name="_Hlk38802734"/>
            <w:r>
              <w:rPr>
                <w:rFonts w:hint="eastAsia" w:ascii="宋体" w:hAnsi="宋体" w:cs="宋体"/>
                <w:b/>
                <w:sz w:val="24"/>
                <w:lang w:eastAsia="zh-CN"/>
              </w:rPr>
              <w:t>江苏盱眙农村商业银行不动产抵押及其他抵质押交易价格评估服务项目</w:t>
            </w:r>
            <w:r>
              <w:rPr>
                <w:rFonts w:hint="eastAsia" w:ascii="宋体" w:hAnsi="宋体" w:cs="宋体"/>
                <w:b/>
                <w:sz w:val="24"/>
              </w:rPr>
              <w:t>全费用报价表（根据采购需求自行组价。达到使用要求和使用目的漏报、少算均含在总价内）</w:t>
            </w:r>
          </w:p>
        </w:tc>
      </w:tr>
      <w:tr w14:paraId="7FCE1F1F">
        <w:tblPrEx>
          <w:tblCellMar>
            <w:top w:w="0" w:type="dxa"/>
            <w:left w:w="108" w:type="dxa"/>
            <w:bottom w:w="0" w:type="dxa"/>
            <w:right w:w="108" w:type="dxa"/>
          </w:tblCellMar>
        </w:tblPrEx>
        <w:trPr>
          <w:trHeight w:val="620" w:hRule="atLeast"/>
        </w:trPr>
        <w:tc>
          <w:tcPr>
            <w:tcW w:w="9218" w:type="dxa"/>
            <w:gridSpan w:val="8"/>
            <w:tcBorders>
              <w:top w:val="nil"/>
              <w:left w:val="nil"/>
              <w:bottom w:val="single" w:color="auto" w:sz="4" w:space="0"/>
              <w:right w:val="nil"/>
            </w:tcBorders>
            <w:shd w:val="clear" w:color="auto" w:fill="auto"/>
            <w:vAlign w:val="center"/>
          </w:tcPr>
          <w:p w14:paraId="39BC1714">
            <w:pPr>
              <w:widowControl/>
              <w:jc w:val="left"/>
              <w:rPr>
                <w:rFonts w:hint="eastAsia" w:ascii="宋体" w:hAnsi="宋体" w:eastAsia="宋体" w:cs="宋体"/>
                <w:color w:val="000000"/>
                <w:kern w:val="0"/>
                <w:sz w:val="24"/>
                <w:lang w:eastAsia="zh-CN"/>
              </w:rPr>
            </w:pPr>
            <w:r>
              <w:rPr>
                <w:rFonts w:hint="eastAsia" w:ascii="宋体" w:hAnsi="宋体" w:cs="宋体"/>
                <w:color w:val="000000"/>
                <w:kern w:val="0"/>
                <w:sz w:val="24"/>
              </w:rPr>
              <w:t>工程名称：</w:t>
            </w:r>
            <w:r>
              <w:rPr>
                <w:rFonts w:hint="eastAsia" w:ascii="宋体" w:hAnsi="宋体" w:cs="宋体"/>
                <w:color w:val="000000"/>
                <w:kern w:val="0"/>
                <w:sz w:val="24"/>
                <w:lang w:eastAsia="zh-CN"/>
              </w:rPr>
              <w:t>江苏盱眙农村商业银行不动产抵押及其他抵质押交易价格评估服务项目</w:t>
            </w:r>
          </w:p>
        </w:tc>
      </w:tr>
      <w:tr w14:paraId="50162BF7">
        <w:tblPrEx>
          <w:tblCellMar>
            <w:top w:w="0" w:type="dxa"/>
            <w:left w:w="108" w:type="dxa"/>
            <w:bottom w:w="0" w:type="dxa"/>
            <w:right w:w="108" w:type="dxa"/>
          </w:tblCellMar>
        </w:tblPrEx>
        <w:trPr>
          <w:trHeight w:val="375" w:hRule="atLeast"/>
        </w:trPr>
        <w:tc>
          <w:tcPr>
            <w:tcW w:w="436" w:type="dxa"/>
            <w:vMerge w:val="restart"/>
            <w:tcBorders>
              <w:top w:val="nil"/>
              <w:left w:val="single" w:color="auto" w:sz="4" w:space="0"/>
              <w:bottom w:val="single" w:color="auto" w:sz="4" w:space="0"/>
              <w:right w:val="single" w:color="auto" w:sz="4" w:space="0"/>
            </w:tcBorders>
            <w:shd w:val="clear" w:color="auto" w:fill="auto"/>
            <w:vAlign w:val="center"/>
          </w:tcPr>
          <w:p w14:paraId="218CE5B2">
            <w:pPr>
              <w:widowControl/>
              <w:jc w:val="center"/>
              <w:rPr>
                <w:rFonts w:ascii="宋体" w:hAnsi="宋体" w:cs="宋体"/>
                <w:color w:val="000000"/>
                <w:kern w:val="0"/>
                <w:sz w:val="24"/>
              </w:rPr>
            </w:pPr>
            <w:r>
              <w:rPr>
                <w:rFonts w:hint="eastAsia" w:ascii="宋体" w:hAnsi="宋体" w:cs="宋体"/>
                <w:color w:val="000000"/>
                <w:kern w:val="0"/>
                <w:sz w:val="24"/>
              </w:rPr>
              <w:t>序号</w:t>
            </w:r>
          </w:p>
        </w:tc>
        <w:tc>
          <w:tcPr>
            <w:tcW w:w="2185" w:type="dxa"/>
            <w:vMerge w:val="restart"/>
            <w:tcBorders>
              <w:top w:val="nil"/>
              <w:left w:val="single" w:color="auto" w:sz="4" w:space="0"/>
              <w:bottom w:val="single" w:color="auto" w:sz="4" w:space="0"/>
              <w:right w:val="single" w:color="auto" w:sz="4" w:space="0"/>
            </w:tcBorders>
            <w:shd w:val="clear" w:color="auto" w:fill="auto"/>
            <w:vAlign w:val="center"/>
          </w:tcPr>
          <w:p w14:paraId="355493D7">
            <w:pPr>
              <w:widowControl/>
              <w:jc w:val="center"/>
              <w:rPr>
                <w:rFonts w:ascii="宋体" w:hAnsi="宋体" w:cs="宋体"/>
                <w:color w:val="000000"/>
                <w:kern w:val="0"/>
                <w:sz w:val="24"/>
              </w:rPr>
            </w:pPr>
            <w:r>
              <w:rPr>
                <w:rFonts w:hint="eastAsia" w:ascii="宋体" w:hAnsi="宋体" w:cs="宋体"/>
                <w:color w:val="000000"/>
                <w:kern w:val="0"/>
                <w:sz w:val="24"/>
              </w:rPr>
              <w:t>项目名称</w:t>
            </w:r>
          </w:p>
        </w:tc>
        <w:tc>
          <w:tcPr>
            <w:tcW w:w="1944" w:type="dxa"/>
            <w:vMerge w:val="restart"/>
            <w:tcBorders>
              <w:top w:val="nil"/>
              <w:left w:val="single" w:color="auto" w:sz="4" w:space="0"/>
              <w:bottom w:val="single" w:color="auto" w:sz="4" w:space="0"/>
              <w:right w:val="single" w:color="auto" w:sz="4" w:space="0"/>
            </w:tcBorders>
            <w:shd w:val="clear" w:color="auto" w:fill="auto"/>
            <w:vAlign w:val="center"/>
          </w:tcPr>
          <w:p w14:paraId="08B85F19">
            <w:pPr>
              <w:widowControl/>
              <w:jc w:val="center"/>
              <w:rPr>
                <w:rFonts w:ascii="宋体" w:hAnsi="宋体" w:cs="宋体"/>
                <w:color w:val="000000"/>
                <w:kern w:val="0"/>
                <w:sz w:val="24"/>
              </w:rPr>
            </w:pPr>
            <w:r>
              <w:rPr>
                <w:rFonts w:hint="eastAsia" w:ascii="宋体" w:hAnsi="宋体" w:cs="宋体"/>
                <w:color w:val="000000"/>
                <w:kern w:val="0"/>
                <w:sz w:val="24"/>
              </w:rPr>
              <w:t>项目特征描述（具体见采购需求）</w:t>
            </w:r>
          </w:p>
        </w:tc>
        <w:tc>
          <w:tcPr>
            <w:tcW w:w="653" w:type="dxa"/>
            <w:vMerge w:val="restart"/>
            <w:tcBorders>
              <w:top w:val="nil"/>
              <w:left w:val="single" w:color="auto" w:sz="4" w:space="0"/>
              <w:bottom w:val="single" w:color="auto" w:sz="4" w:space="0"/>
              <w:right w:val="single" w:color="auto" w:sz="4" w:space="0"/>
            </w:tcBorders>
            <w:shd w:val="clear" w:color="auto" w:fill="auto"/>
            <w:vAlign w:val="center"/>
          </w:tcPr>
          <w:p w14:paraId="2424FA35">
            <w:pPr>
              <w:widowControl/>
              <w:jc w:val="center"/>
              <w:rPr>
                <w:rFonts w:ascii="宋体" w:hAnsi="宋体" w:cs="宋体"/>
                <w:color w:val="000000"/>
                <w:kern w:val="0"/>
                <w:sz w:val="24"/>
              </w:rPr>
            </w:pPr>
            <w:r>
              <w:rPr>
                <w:rFonts w:hint="eastAsia" w:ascii="宋体" w:hAnsi="宋体" w:cs="宋体"/>
                <w:color w:val="000000"/>
                <w:kern w:val="0"/>
                <w:sz w:val="24"/>
              </w:rPr>
              <w:t>计量</w:t>
            </w:r>
            <w:r>
              <w:rPr>
                <w:rFonts w:hint="eastAsia" w:ascii="宋体" w:hAnsi="宋体" w:cs="宋体"/>
                <w:color w:val="000000"/>
                <w:kern w:val="0"/>
                <w:sz w:val="24"/>
              </w:rPr>
              <w:br w:type="textWrapping"/>
            </w:r>
            <w:r>
              <w:rPr>
                <w:rFonts w:hint="eastAsia" w:ascii="宋体" w:hAnsi="宋体" w:cs="宋体"/>
                <w:color w:val="000000"/>
                <w:kern w:val="0"/>
                <w:sz w:val="24"/>
              </w:rPr>
              <w:t>单位</w:t>
            </w:r>
          </w:p>
        </w:tc>
        <w:tc>
          <w:tcPr>
            <w:tcW w:w="800" w:type="dxa"/>
            <w:vMerge w:val="restart"/>
            <w:tcBorders>
              <w:top w:val="nil"/>
              <w:left w:val="single" w:color="auto" w:sz="4" w:space="0"/>
              <w:bottom w:val="single" w:color="auto" w:sz="4" w:space="0"/>
              <w:right w:val="single" w:color="auto" w:sz="4" w:space="0"/>
            </w:tcBorders>
            <w:shd w:val="clear" w:color="auto" w:fill="auto"/>
            <w:vAlign w:val="center"/>
          </w:tcPr>
          <w:p w14:paraId="399F789B">
            <w:pPr>
              <w:widowControl/>
              <w:jc w:val="center"/>
              <w:rPr>
                <w:rFonts w:ascii="宋体" w:hAnsi="宋体" w:cs="宋体"/>
                <w:color w:val="000000"/>
                <w:kern w:val="0"/>
                <w:sz w:val="24"/>
              </w:rPr>
            </w:pPr>
            <w:r>
              <w:rPr>
                <w:rFonts w:hint="eastAsia" w:ascii="宋体" w:hAnsi="宋体" w:cs="宋体"/>
                <w:color w:val="000000"/>
                <w:kern w:val="0"/>
                <w:sz w:val="24"/>
              </w:rPr>
              <w:t>工程量</w:t>
            </w:r>
          </w:p>
        </w:tc>
        <w:tc>
          <w:tcPr>
            <w:tcW w:w="3200" w:type="dxa"/>
            <w:gridSpan w:val="3"/>
            <w:tcBorders>
              <w:top w:val="nil"/>
              <w:left w:val="nil"/>
              <w:bottom w:val="single" w:color="auto" w:sz="4" w:space="0"/>
              <w:right w:val="single" w:color="auto" w:sz="4" w:space="0"/>
            </w:tcBorders>
            <w:shd w:val="clear" w:color="auto" w:fill="auto"/>
            <w:vAlign w:val="center"/>
          </w:tcPr>
          <w:p w14:paraId="35E29260">
            <w:pPr>
              <w:widowControl/>
              <w:jc w:val="center"/>
              <w:rPr>
                <w:rFonts w:ascii="宋体" w:hAnsi="宋体" w:cs="宋体"/>
                <w:color w:val="000000"/>
                <w:kern w:val="0"/>
                <w:sz w:val="24"/>
              </w:rPr>
            </w:pPr>
            <w:r>
              <w:rPr>
                <w:rFonts w:hint="eastAsia" w:ascii="宋体" w:hAnsi="宋体" w:cs="宋体"/>
                <w:color w:val="000000"/>
                <w:kern w:val="0"/>
                <w:sz w:val="24"/>
              </w:rPr>
              <w:t>金     额（元）</w:t>
            </w:r>
          </w:p>
        </w:tc>
      </w:tr>
      <w:tr w14:paraId="53945E4F">
        <w:tblPrEx>
          <w:tblCellMar>
            <w:top w:w="0" w:type="dxa"/>
            <w:left w:w="108" w:type="dxa"/>
            <w:bottom w:w="0" w:type="dxa"/>
            <w:right w:w="108" w:type="dxa"/>
          </w:tblCellMar>
        </w:tblPrEx>
        <w:trPr>
          <w:trHeight w:val="540" w:hRule="atLeast"/>
        </w:trPr>
        <w:tc>
          <w:tcPr>
            <w:tcW w:w="436" w:type="dxa"/>
            <w:vMerge w:val="continue"/>
            <w:tcBorders>
              <w:top w:val="nil"/>
              <w:left w:val="single" w:color="auto" w:sz="4" w:space="0"/>
              <w:bottom w:val="single" w:color="auto" w:sz="4" w:space="0"/>
              <w:right w:val="single" w:color="auto" w:sz="4" w:space="0"/>
            </w:tcBorders>
            <w:vAlign w:val="center"/>
          </w:tcPr>
          <w:p w14:paraId="7DA17A51">
            <w:pPr>
              <w:widowControl/>
              <w:jc w:val="left"/>
              <w:rPr>
                <w:rFonts w:ascii="宋体" w:hAnsi="宋体" w:cs="宋体"/>
                <w:color w:val="000000"/>
                <w:kern w:val="0"/>
                <w:sz w:val="24"/>
              </w:rPr>
            </w:pPr>
          </w:p>
        </w:tc>
        <w:tc>
          <w:tcPr>
            <w:tcW w:w="2185" w:type="dxa"/>
            <w:vMerge w:val="continue"/>
            <w:tcBorders>
              <w:top w:val="nil"/>
              <w:left w:val="single" w:color="auto" w:sz="4" w:space="0"/>
              <w:bottom w:val="single" w:color="auto" w:sz="4" w:space="0"/>
              <w:right w:val="single" w:color="auto" w:sz="4" w:space="0"/>
            </w:tcBorders>
            <w:vAlign w:val="center"/>
          </w:tcPr>
          <w:p w14:paraId="36DE8297">
            <w:pPr>
              <w:widowControl/>
              <w:jc w:val="left"/>
              <w:rPr>
                <w:rFonts w:ascii="宋体" w:hAnsi="宋体" w:cs="宋体"/>
                <w:color w:val="000000"/>
                <w:kern w:val="0"/>
                <w:sz w:val="24"/>
              </w:rPr>
            </w:pPr>
          </w:p>
        </w:tc>
        <w:tc>
          <w:tcPr>
            <w:tcW w:w="1944" w:type="dxa"/>
            <w:vMerge w:val="continue"/>
            <w:tcBorders>
              <w:top w:val="nil"/>
              <w:left w:val="single" w:color="auto" w:sz="4" w:space="0"/>
              <w:bottom w:val="single" w:color="auto" w:sz="4" w:space="0"/>
              <w:right w:val="single" w:color="auto" w:sz="4" w:space="0"/>
            </w:tcBorders>
            <w:vAlign w:val="center"/>
          </w:tcPr>
          <w:p w14:paraId="1144BCCA">
            <w:pPr>
              <w:widowControl/>
              <w:jc w:val="left"/>
              <w:rPr>
                <w:rFonts w:ascii="宋体" w:hAnsi="宋体" w:cs="宋体"/>
                <w:color w:val="000000"/>
                <w:kern w:val="0"/>
                <w:sz w:val="24"/>
              </w:rPr>
            </w:pPr>
          </w:p>
        </w:tc>
        <w:tc>
          <w:tcPr>
            <w:tcW w:w="653" w:type="dxa"/>
            <w:vMerge w:val="continue"/>
            <w:tcBorders>
              <w:top w:val="nil"/>
              <w:left w:val="single" w:color="auto" w:sz="4" w:space="0"/>
              <w:bottom w:val="single" w:color="auto" w:sz="4" w:space="0"/>
              <w:right w:val="single" w:color="auto" w:sz="4" w:space="0"/>
            </w:tcBorders>
            <w:vAlign w:val="center"/>
          </w:tcPr>
          <w:p w14:paraId="150B545F">
            <w:pPr>
              <w:widowControl/>
              <w:jc w:val="left"/>
              <w:rPr>
                <w:rFonts w:ascii="宋体" w:hAnsi="宋体" w:cs="宋体"/>
                <w:color w:val="000000"/>
                <w:kern w:val="0"/>
                <w:sz w:val="24"/>
              </w:rPr>
            </w:pPr>
          </w:p>
        </w:tc>
        <w:tc>
          <w:tcPr>
            <w:tcW w:w="800" w:type="dxa"/>
            <w:vMerge w:val="continue"/>
            <w:tcBorders>
              <w:top w:val="nil"/>
              <w:left w:val="single" w:color="auto" w:sz="4" w:space="0"/>
              <w:bottom w:val="single" w:color="auto" w:sz="4" w:space="0"/>
              <w:right w:val="single" w:color="auto" w:sz="4" w:space="0"/>
            </w:tcBorders>
            <w:vAlign w:val="center"/>
          </w:tcPr>
          <w:p w14:paraId="6EB082D2">
            <w:pPr>
              <w:widowControl/>
              <w:jc w:val="left"/>
              <w:rPr>
                <w:rFonts w:ascii="宋体" w:hAnsi="宋体" w:cs="宋体"/>
                <w:color w:val="000000"/>
                <w:kern w:val="0"/>
                <w:sz w:val="24"/>
              </w:rPr>
            </w:pPr>
          </w:p>
        </w:tc>
        <w:tc>
          <w:tcPr>
            <w:tcW w:w="1080" w:type="dxa"/>
            <w:tcBorders>
              <w:top w:val="nil"/>
              <w:left w:val="nil"/>
              <w:bottom w:val="single" w:color="auto" w:sz="4" w:space="0"/>
              <w:right w:val="single" w:color="auto" w:sz="4" w:space="0"/>
            </w:tcBorders>
            <w:shd w:val="clear" w:color="auto" w:fill="auto"/>
            <w:vAlign w:val="center"/>
          </w:tcPr>
          <w:p w14:paraId="0497A8FB">
            <w:pPr>
              <w:widowControl/>
              <w:jc w:val="center"/>
              <w:rPr>
                <w:rFonts w:ascii="宋体" w:hAnsi="宋体" w:cs="宋体"/>
                <w:color w:val="000000"/>
                <w:kern w:val="0"/>
                <w:sz w:val="24"/>
              </w:rPr>
            </w:pPr>
            <w:r>
              <w:rPr>
                <w:rFonts w:hint="eastAsia" w:ascii="宋体" w:hAnsi="宋体" w:cs="宋体"/>
                <w:color w:val="000000"/>
                <w:kern w:val="0"/>
                <w:sz w:val="24"/>
              </w:rPr>
              <w:t>全费用单价</w:t>
            </w:r>
          </w:p>
        </w:tc>
        <w:tc>
          <w:tcPr>
            <w:tcW w:w="1120" w:type="dxa"/>
            <w:tcBorders>
              <w:top w:val="nil"/>
              <w:left w:val="nil"/>
              <w:bottom w:val="single" w:color="auto" w:sz="4" w:space="0"/>
              <w:right w:val="single" w:color="auto" w:sz="4" w:space="0"/>
            </w:tcBorders>
            <w:shd w:val="clear" w:color="auto" w:fill="auto"/>
            <w:vAlign w:val="center"/>
          </w:tcPr>
          <w:p w14:paraId="493A4DDF">
            <w:pPr>
              <w:widowControl/>
              <w:jc w:val="center"/>
              <w:rPr>
                <w:rFonts w:ascii="宋体" w:hAnsi="宋体" w:cs="宋体"/>
                <w:color w:val="000000"/>
                <w:kern w:val="0"/>
                <w:sz w:val="24"/>
              </w:rPr>
            </w:pPr>
            <w:r>
              <w:rPr>
                <w:rFonts w:hint="eastAsia" w:ascii="宋体" w:hAnsi="宋体" w:cs="宋体"/>
                <w:color w:val="000000"/>
                <w:kern w:val="0"/>
                <w:sz w:val="24"/>
              </w:rPr>
              <w:t>全费用合价</w:t>
            </w:r>
          </w:p>
        </w:tc>
        <w:tc>
          <w:tcPr>
            <w:tcW w:w="1000" w:type="dxa"/>
            <w:tcBorders>
              <w:top w:val="nil"/>
              <w:left w:val="nil"/>
              <w:bottom w:val="single" w:color="auto" w:sz="4" w:space="0"/>
              <w:right w:val="single" w:color="auto" w:sz="4" w:space="0"/>
            </w:tcBorders>
            <w:shd w:val="clear" w:color="auto" w:fill="auto"/>
            <w:vAlign w:val="center"/>
          </w:tcPr>
          <w:p w14:paraId="5CCA2FB0">
            <w:pPr>
              <w:widowControl/>
              <w:jc w:val="center"/>
              <w:rPr>
                <w:rFonts w:ascii="宋体" w:hAnsi="宋体" w:cs="宋体"/>
                <w:color w:val="000000"/>
                <w:kern w:val="0"/>
                <w:sz w:val="24"/>
              </w:rPr>
            </w:pPr>
            <w:r>
              <w:rPr>
                <w:rFonts w:hint="eastAsia" w:ascii="宋体" w:hAnsi="宋体" w:cs="宋体"/>
                <w:color w:val="000000"/>
                <w:kern w:val="0"/>
                <w:sz w:val="24"/>
              </w:rPr>
              <w:t>备注</w:t>
            </w:r>
          </w:p>
        </w:tc>
      </w:tr>
      <w:tr w14:paraId="67B723C3">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7DF2E1B3">
            <w:pPr>
              <w:widowControl/>
              <w:jc w:val="center"/>
              <w:rPr>
                <w:rFonts w:ascii="宋体" w:hAnsi="宋体" w:cs="宋体"/>
                <w:color w:val="000000"/>
                <w:kern w:val="0"/>
                <w:sz w:val="24"/>
              </w:rPr>
            </w:pPr>
          </w:p>
        </w:tc>
        <w:tc>
          <w:tcPr>
            <w:tcW w:w="2185" w:type="dxa"/>
            <w:tcBorders>
              <w:top w:val="nil"/>
              <w:left w:val="nil"/>
              <w:bottom w:val="single" w:color="auto" w:sz="4" w:space="0"/>
              <w:right w:val="single" w:color="auto" w:sz="4" w:space="0"/>
            </w:tcBorders>
            <w:shd w:val="clear" w:color="auto" w:fill="auto"/>
            <w:noWrap/>
            <w:vAlign w:val="center"/>
          </w:tcPr>
          <w:p w14:paraId="69C98A88">
            <w:pPr>
              <w:widowControl/>
              <w:rPr>
                <w:rFonts w:ascii="宋体" w:hAnsi="宋体" w:cs="宋体"/>
                <w:color w:val="000000"/>
                <w:kern w:val="0"/>
                <w:sz w:val="24"/>
              </w:rPr>
            </w:pPr>
          </w:p>
        </w:tc>
        <w:tc>
          <w:tcPr>
            <w:tcW w:w="1944" w:type="dxa"/>
            <w:tcBorders>
              <w:top w:val="nil"/>
              <w:left w:val="nil"/>
              <w:bottom w:val="single" w:color="auto" w:sz="4" w:space="0"/>
              <w:right w:val="single" w:color="auto" w:sz="4" w:space="0"/>
            </w:tcBorders>
            <w:shd w:val="clear" w:color="auto" w:fill="auto"/>
            <w:vAlign w:val="center"/>
          </w:tcPr>
          <w:p w14:paraId="73D48302">
            <w:pPr>
              <w:widowControl/>
              <w:jc w:val="center"/>
              <w:rPr>
                <w:rFonts w:ascii="宋体" w:hAnsi="宋体" w:cs="宋体"/>
                <w:color w:val="000000"/>
                <w:kern w:val="0"/>
                <w:sz w:val="24"/>
              </w:rPr>
            </w:pPr>
          </w:p>
        </w:tc>
        <w:tc>
          <w:tcPr>
            <w:tcW w:w="653" w:type="dxa"/>
            <w:tcBorders>
              <w:top w:val="nil"/>
              <w:left w:val="nil"/>
              <w:bottom w:val="single" w:color="auto" w:sz="4" w:space="0"/>
              <w:right w:val="single" w:color="auto" w:sz="4" w:space="0"/>
            </w:tcBorders>
            <w:shd w:val="clear" w:color="auto" w:fill="auto"/>
            <w:vAlign w:val="center"/>
          </w:tcPr>
          <w:p w14:paraId="3AB2CA61">
            <w:pPr>
              <w:widowControl/>
              <w:jc w:val="center"/>
              <w:rPr>
                <w:rFonts w:ascii="宋体" w:hAnsi="宋体" w:cs="宋体"/>
                <w:color w:val="000000"/>
                <w:kern w:val="0"/>
                <w:sz w:val="24"/>
              </w:rPr>
            </w:pPr>
          </w:p>
        </w:tc>
        <w:tc>
          <w:tcPr>
            <w:tcW w:w="800" w:type="dxa"/>
            <w:tcBorders>
              <w:top w:val="nil"/>
              <w:left w:val="nil"/>
              <w:bottom w:val="single" w:color="auto" w:sz="4" w:space="0"/>
              <w:right w:val="single" w:color="auto" w:sz="4" w:space="0"/>
            </w:tcBorders>
            <w:shd w:val="clear" w:color="auto" w:fill="auto"/>
            <w:vAlign w:val="center"/>
          </w:tcPr>
          <w:p w14:paraId="780ABF61">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4" w:space="0"/>
            </w:tcBorders>
            <w:shd w:val="clear" w:color="auto" w:fill="auto"/>
            <w:vAlign w:val="center"/>
          </w:tcPr>
          <w:p w14:paraId="4F5CEBC4">
            <w:pPr>
              <w:jc w:val="center"/>
              <w:rPr>
                <w:rFonts w:ascii="宋体" w:hAnsi="宋体" w:cs="宋体"/>
                <w:color w:val="000000"/>
                <w:sz w:val="24"/>
              </w:rPr>
            </w:pPr>
          </w:p>
        </w:tc>
        <w:tc>
          <w:tcPr>
            <w:tcW w:w="1120" w:type="dxa"/>
            <w:tcBorders>
              <w:top w:val="nil"/>
              <w:left w:val="nil"/>
              <w:bottom w:val="single" w:color="auto" w:sz="4" w:space="0"/>
              <w:right w:val="single" w:color="auto" w:sz="4" w:space="0"/>
            </w:tcBorders>
            <w:shd w:val="clear" w:color="auto" w:fill="auto"/>
            <w:vAlign w:val="center"/>
          </w:tcPr>
          <w:p w14:paraId="3ACD9E09">
            <w:pPr>
              <w:widowControl/>
              <w:jc w:val="center"/>
              <w:rPr>
                <w:rFonts w:ascii="宋体" w:hAnsi="宋体" w:cs="宋体"/>
                <w:b/>
                <w:bCs/>
                <w:color w:val="000000"/>
                <w:kern w:val="0"/>
                <w:sz w:val="24"/>
              </w:rPr>
            </w:pPr>
          </w:p>
        </w:tc>
        <w:tc>
          <w:tcPr>
            <w:tcW w:w="1000" w:type="dxa"/>
            <w:tcBorders>
              <w:top w:val="nil"/>
              <w:left w:val="nil"/>
              <w:bottom w:val="single" w:color="auto" w:sz="4" w:space="0"/>
              <w:right w:val="single" w:color="auto" w:sz="4" w:space="0"/>
            </w:tcBorders>
            <w:shd w:val="clear" w:color="auto" w:fill="auto"/>
            <w:vAlign w:val="center"/>
          </w:tcPr>
          <w:p w14:paraId="7D34A552">
            <w:pPr>
              <w:widowControl/>
              <w:jc w:val="center"/>
              <w:rPr>
                <w:rFonts w:ascii="宋体" w:hAnsi="宋体" w:cs="宋体"/>
                <w:b/>
                <w:bCs/>
                <w:color w:val="000000"/>
                <w:kern w:val="0"/>
                <w:sz w:val="24"/>
              </w:rPr>
            </w:pPr>
          </w:p>
        </w:tc>
      </w:tr>
      <w:tr w14:paraId="6E415765">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77E3DC1C">
            <w:pPr>
              <w:widowControl/>
              <w:jc w:val="center"/>
              <w:rPr>
                <w:rFonts w:ascii="宋体" w:hAnsi="宋体" w:cs="宋体"/>
                <w:color w:val="000000"/>
                <w:kern w:val="0"/>
                <w:sz w:val="24"/>
              </w:rPr>
            </w:pPr>
          </w:p>
        </w:tc>
        <w:tc>
          <w:tcPr>
            <w:tcW w:w="2185" w:type="dxa"/>
            <w:tcBorders>
              <w:top w:val="nil"/>
              <w:left w:val="nil"/>
              <w:bottom w:val="single" w:color="auto" w:sz="4" w:space="0"/>
              <w:right w:val="single" w:color="auto" w:sz="4" w:space="0"/>
            </w:tcBorders>
            <w:shd w:val="clear" w:color="auto" w:fill="auto"/>
            <w:noWrap/>
            <w:vAlign w:val="center"/>
          </w:tcPr>
          <w:p w14:paraId="7B800A11">
            <w:pPr>
              <w:pStyle w:val="45"/>
              <w:ind w:left="0" w:leftChars="0" w:firstLine="0" w:firstLineChars="0"/>
              <w:jc w:val="center"/>
              <w:rPr>
                <w:rFonts w:ascii="宋体" w:hAnsi="宋体" w:cs="宋体"/>
                <w:sz w:val="24"/>
              </w:rPr>
            </w:pPr>
          </w:p>
        </w:tc>
        <w:tc>
          <w:tcPr>
            <w:tcW w:w="1944" w:type="dxa"/>
            <w:tcBorders>
              <w:top w:val="nil"/>
              <w:left w:val="nil"/>
              <w:bottom w:val="single" w:color="auto" w:sz="4" w:space="0"/>
              <w:right w:val="single" w:color="auto" w:sz="4" w:space="0"/>
            </w:tcBorders>
            <w:shd w:val="clear" w:color="auto" w:fill="auto"/>
            <w:vAlign w:val="center"/>
          </w:tcPr>
          <w:p w14:paraId="7A0F1D97">
            <w:pPr>
              <w:widowControl/>
              <w:jc w:val="center"/>
              <w:rPr>
                <w:rFonts w:ascii="宋体" w:hAnsi="宋体" w:cs="宋体"/>
                <w:color w:val="000000"/>
                <w:kern w:val="0"/>
                <w:sz w:val="24"/>
              </w:rPr>
            </w:pPr>
          </w:p>
        </w:tc>
        <w:tc>
          <w:tcPr>
            <w:tcW w:w="653" w:type="dxa"/>
            <w:tcBorders>
              <w:top w:val="nil"/>
              <w:left w:val="nil"/>
              <w:bottom w:val="single" w:color="auto" w:sz="4" w:space="0"/>
              <w:right w:val="single" w:color="auto" w:sz="4" w:space="0"/>
            </w:tcBorders>
            <w:shd w:val="clear" w:color="auto" w:fill="auto"/>
            <w:vAlign w:val="center"/>
          </w:tcPr>
          <w:p w14:paraId="30EF2DF5">
            <w:pPr>
              <w:widowControl/>
              <w:jc w:val="center"/>
              <w:rPr>
                <w:rFonts w:ascii="宋体" w:hAnsi="宋体" w:cs="宋体"/>
                <w:color w:val="000000"/>
                <w:kern w:val="0"/>
                <w:sz w:val="24"/>
              </w:rPr>
            </w:pPr>
          </w:p>
        </w:tc>
        <w:tc>
          <w:tcPr>
            <w:tcW w:w="800" w:type="dxa"/>
            <w:tcBorders>
              <w:top w:val="nil"/>
              <w:left w:val="nil"/>
              <w:bottom w:val="single" w:color="auto" w:sz="4" w:space="0"/>
              <w:right w:val="single" w:color="auto" w:sz="4" w:space="0"/>
            </w:tcBorders>
            <w:shd w:val="clear" w:color="auto" w:fill="auto"/>
            <w:vAlign w:val="center"/>
          </w:tcPr>
          <w:p w14:paraId="62C2CC78">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4" w:space="0"/>
            </w:tcBorders>
            <w:shd w:val="clear" w:color="auto" w:fill="auto"/>
            <w:vAlign w:val="center"/>
          </w:tcPr>
          <w:p w14:paraId="662B07D6">
            <w:pPr>
              <w:jc w:val="center"/>
              <w:rPr>
                <w:rFonts w:ascii="宋体" w:hAnsi="宋体" w:cs="宋体"/>
                <w:color w:val="000000"/>
                <w:sz w:val="24"/>
              </w:rPr>
            </w:pPr>
          </w:p>
        </w:tc>
        <w:tc>
          <w:tcPr>
            <w:tcW w:w="1120" w:type="dxa"/>
            <w:tcBorders>
              <w:top w:val="nil"/>
              <w:left w:val="nil"/>
              <w:bottom w:val="single" w:color="auto" w:sz="4" w:space="0"/>
              <w:right w:val="single" w:color="auto" w:sz="4" w:space="0"/>
            </w:tcBorders>
            <w:shd w:val="clear" w:color="auto" w:fill="auto"/>
            <w:vAlign w:val="center"/>
          </w:tcPr>
          <w:p w14:paraId="1BD87A55">
            <w:pPr>
              <w:widowControl/>
              <w:jc w:val="center"/>
              <w:rPr>
                <w:rFonts w:ascii="宋体" w:hAnsi="宋体" w:cs="宋体"/>
                <w:b/>
                <w:bCs/>
                <w:color w:val="000000"/>
                <w:kern w:val="0"/>
                <w:sz w:val="24"/>
              </w:rPr>
            </w:pPr>
          </w:p>
        </w:tc>
        <w:tc>
          <w:tcPr>
            <w:tcW w:w="1000" w:type="dxa"/>
            <w:tcBorders>
              <w:top w:val="nil"/>
              <w:left w:val="nil"/>
              <w:bottom w:val="single" w:color="auto" w:sz="4" w:space="0"/>
              <w:right w:val="single" w:color="auto" w:sz="4" w:space="0"/>
            </w:tcBorders>
            <w:shd w:val="clear" w:color="auto" w:fill="auto"/>
            <w:vAlign w:val="center"/>
          </w:tcPr>
          <w:p w14:paraId="5AD9BD55">
            <w:pPr>
              <w:widowControl/>
              <w:jc w:val="center"/>
              <w:rPr>
                <w:rFonts w:ascii="宋体" w:hAnsi="宋体" w:cs="宋体"/>
                <w:b/>
                <w:bCs/>
                <w:color w:val="000000"/>
                <w:kern w:val="0"/>
                <w:sz w:val="24"/>
              </w:rPr>
            </w:pPr>
          </w:p>
        </w:tc>
      </w:tr>
      <w:tr w14:paraId="58986E07">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5BC29EA6">
            <w:pPr>
              <w:widowControl/>
              <w:jc w:val="center"/>
              <w:rPr>
                <w:rFonts w:ascii="宋体" w:hAnsi="宋体" w:cs="宋体"/>
                <w:color w:val="000000"/>
                <w:kern w:val="0"/>
                <w:sz w:val="24"/>
              </w:rPr>
            </w:pPr>
          </w:p>
        </w:tc>
        <w:tc>
          <w:tcPr>
            <w:tcW w:w="2185" w:type="dxa"/>
            <w:tcBorders>
              <w:top w:val="nil"/>
              <w:left w:val="nil"/>
              <w:bottom w:val="single" w:color="auto" w:sz="4" w:space="0"/>
              <w:right w:val="single" w:color="auto" w:sz="4" w:space="0"/>
            </w:tcBorders>
            <w:shd w:val="clear" w:color="auto" w:fill="auto"/>
            <w:noWrap/>
            <w:vAlign w:val="center"/>
          </w:tcPr>
          <w:p w14:paraId="544D21F1">
            <w:pPr>
              <w:widowControl/>
              <w:rPr>
                <w:rFonts w:ascii="宋体" w:hAnsi="宋体" w:cs="宋体"/>
                <w:color w:val="000000"/>
                <w:kern w:val="0"/>
                <w:sz w:val="24"/>
              </w:rPr>
            </w:pPr>
            <w:r>
              <w:rPr>
                <w:rFonts w:hint="eastAsia" w:ascii="宋体" w:hAnsi="宋体" w:cs="宋体"/>
                <w:color w:val="000000"/>
                <w:kern w:val="0"/>
                <w:sz w:val="24"/>
              </w:rPr>
              <w:t>…………</w:t>
            </w:r>
          </w:p>
        </w:tc>
        <w:tc>
          <w:tcPr>
            <w:tcW w:w="1944" w:type="dxa"/>
            <w:tcBorders>
              <w:top w:val="nil"/>
              <w:left w:val="nil"/>
              <w:bottom w:val="single" w:color="auto" w:sz="4" w:space="0"/>
              <w:right w:val="single" w:color="auto" w:sz="4" w:space="0"/>
            </w:tcBorders>
            <w:shd w:val="clear" w:color="auto" w:fill="auto"/>
            <w:vAlign w:val="center"/>
          </w:tcPr>
          <w:p w14:paraId="2E1BFA03">
            <w:pPr>
              <w:widowControl/>
              <w:jc w:val="center"/>
              <w:rPr>
                <w:rFonts w:ascii="宋体" w:hAnsi="宋体" w:cs="宋体"/>
                <w:color w:val="000000"/>
                <w:kern w:val="0"/>
                <w:sz w:val="24"/>
              </w:rPr>
            </w:pPr>
          </w:p>
        </w:tc>
        <w:tc>
          <w:tcPr>
            <w:tcW w:w="653" w:type="dxa"/>
            <w:tcBorders>
              <w:top w:val="nil"/>
              <w:left w:val="nil"/>
              <w:bottom w:val="single" w:color="auto" w:sz="4" w:space="0"/>
              <w:right w:val="single" w:color="auto" w:sz="4" w:space="0"/>
            </w:tcBorders>
            <w:shd w:val="clear" w:color="auto" w:fill="auto"/>
            <w:vAlign w:val="center"/>
          </w:tcPr>
          <w:p w14:paraId="0253084E">
            <w:pPr>
              <w:widowControl/>
              <w:jc w:val="center"/>
              <w:rPr>
                <w:rFonts w:ascii="宋体" w:hAnsi="宋体" w:cs="宋体"/>
                <w:color w:val="000000"/>
                <w:kern w:val="0"/>
                <w:sz w:val="24"/>
              </w:rPr>
            </w:pPr>
          </w:p>
        </w:tc>
        <w:tc>
          <w:tcPr>
            <w:tcW w:w="800" w:type="dxa"/>
            <w:tcBorders>
              <w:top w:val="nil"/>
              <w:left w:val="nil"/>
              <w:bottom w:val="single" w:color="auto" w:sz="4" w:space="0"/>
              <w:right w:val="single" w:color="auto" w:sz="4" w:space="0"/>
            </w:tcBorders>
            <w:shd w:val="clear" w:color="auto" w:fill="auto"/>
            <w:vAlign w:val="center"/>
          </w:tcPr>
          <w:p w14:paraId="46724930">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4" w:space="0"/>
            </w:tcBorders>
            <w:shd w:val="clear" w:color="auto" w:fill="auto"/>
            <w:vAlign w:val="center"/>
          </w:tcPr>
          <w:p w14:paraId="296EA0C4">
            <w:pPr>
              <w:jc w:val="center"/>
              <w:rPr>
                <w:rFonts w:ascii="宋体" w:hAnsi="宋体" w:cs="宋体"/>
                <w:color w:val="000000"/>
                <w:sz w:val="24"/>
              </w:rPr>
            </w:pPr>
          </w:p>
        </w:tc>
        <w:tc>
          <w:tcPr>
            <w:tcW w:w="1120" w:type="dxa"/>
            <w:tcBorders>
              <w:top w:val="nil"/>
              <w:left w:val="nil"/>
              <w:bottom w:val="single" w:color="auto" w:sz="4" w:space="0"/>
              <w:right w:val="single" w:color="auto" w:sz="4" w:space="0"/>
            </w:tcBorders>
            <w:shd w:val="clear" w:color="auto" w:fill="auto"/>
            <w:vAlign w:val="center"/>
          </w:tcPr>
          <w:p w14:paraId="141A4005">
            <w:pPr>
              <w:widowControl/>
              <w:jc w:val="center"/>
              <w:rPr>
                <w:rFonts w:ascii="宋体" w:hAnsi="宋体" w:cs="宋体"/>
                <w:b/>
                <w:bCs/>
                <w:color w:val="000000"/>
                <w:kern w:val="0"/>
                <w:sz w:val="24"/>
              </w:rPr>
            </w:pPr>
          </w:p>
        </w:tc>
        <w:tc>
          <w:tcPr>
            <w:tcW w:w="1000" w:type="dxa"/>
            <w:tcBorders>
              <w:top w:val="nil"/>
              <w:left w:val="nil"/>
              <w:bottom w:val="single" w:color="auto" w:sz="4" w:space="0"/>
              <w:right w:val="single" w:color="auto" w:sz="4" w:space="0"/>
            </w:tcBorders>
            <w:shd w:val="clear" w:color="auto" w:fill="auto"/>
            <w:vAlign w:val="center"/>
          </w:tcPr>
          <w:p w14:paraId="4E16B7DD">
            <w:pPr>
              <w:widowControl/>
              <w:jc w:val="center"/>
              <w:rPr>
                <w:rFonts w:ascii="宋体" w:hAnsi="宋体" w:cs="宋体"/>
                <w:b/>
                <w:bCs/>
                <w:color w:val="000000"/>
                <w:kern w:val="0"/>
                <w:sz w:val="24"/>
              </w:rPr>
            </w:pPr>
          </w:p>
        </w:tc>
      </w:tr>
      <w:tr w14:paraId="4DC64545">
        <w:tblPrEx>
          <w:tblCellMar>
            <w:top w:w="0" w:type="dxa"/>
            <w:left w:w="108" w:type="dxa"/>
            <w:bottom w:w="0" w:type="dxa"/>
            <w:right w:w="108" w:type="dxa"/>
          </w:tblCellMar>
        </w:tblPrEx>
        <w:trPr>
          <w:trHeight w:val="454" w:hRule="atLeast"/>
        </w:trPr>
        <w:tc>
          <w:tcPr>
            <w:tcW w:w="436" w:type="dxa"/>
            <w:tcBorders>
              <w:top w:val="nil"/>
              <w:left w:val="single" w:color="auto" w:sz="4" w:space="0"/>
              <w:bottom w:val="single" w:color="auto" w:sz="4" w:space="0"/>
              <w:right w:val="single" w:color="auto" w:sz="4" w:space="0"/>
            </w:tcBorders>
            <w:shd w:val="clear" w:color="auto" w:fill="auto"/>
            <w:vAlign w:val="center"/>
          </w:tcPr>
          <w:p w14:paraId="6AC1ED17">
            <w:pPr>
              <w:widowControl/>
              <w:jc w:val="center"/>
              <w:rPr>
                <w:rFonts w:ascii="宋体" w:hAnsi="宋体" w:cs="宋体"/>
                <w:color w:val="000000"/>
                <w:kern w:val="0"/>
                <w:sz w:val="24"/>
              </w:rPr>
            </w:pPr>
          </w:p>
        </w:tc>
        <w:tc>
          <w:tcPr>
            <w:tcW w:w="2185" w:type="dxa"/>
            <w:tcBorders>
              <w:top w:val="nil"/>
              <w:left w:val="nil"/>
              <w:bottom w:val="single" w:color="auto" w:sz="4" w:space="0"/>
              <w:right w:val="single" w:color="auto" w:sz="4" w:space="0"/>
            </w:tcBorders>
            <w:shd w:val="clear" w:color="auto" w:fill="auto"/>
            <w:noWrap/>
            <w:vAlign w:val="center"/>
          </w:tcPr>
          <w:p w14:paraId="2CB1706F">
            <w:pPr>
              <w:widowControl/>
              <w:jc w:val="center"/>
              <w:rPr>
                <w:rFonts w:ascii="宋体" w:hAnsi="宋体" w:cs="宋体"/>
                <w:color w:val="000000"/>
                <w:kern w:val="0"/>
                <w:sz w:val="24"/>
              </w:rPr>
            </w:pPr>
            <w:r>
              <w:rPr>
                <w:rFonts w:hint="eastAsia" w:ascii="宋体" w:hAnsi="宋体" w:cs="宋体"/>
                <w:color w:val="000000"/>
                <w:kern w:val="0"/>
                <w:sz w:val="24"/>
              </w:rPr>
              <w:t xml:space="preserve"> 合计 </w:t>
            </w:r>
          </w:p>
        </w:tc>
        <w:tc>
          <w:tcPr>
            <w:tcW w:w="1944" w:type="dxa"/>
            <w:tcBorders>
              <w:top w:val="nil"/>
              <w:left w:val="nil"/>
              <w:bottom w:val="single" w:color="auto" w:sz="4" w:space="0"/>
              <w:right w:val="single" w:color="auto" w:sz="4" w:space="0"/>
            </w:tcBorders>
            <w:shd w:val="clear" w:color="auto" w:fill="auto"/>
            <w:noWrap/>
            <w:vAlign w:val="bottom"/>
          </w:tcPr>
          <w:p w14:paraId="2E332D70">
            <w:pPr>
              <w:widowControl/>
              <w:jc w:val="left"/>
              <w:rPr>
                <w:rFonts w:ascii="宋体" w:hAnsi="宋体" w:cs="宋体"/>
                <w:color w:val="000000"/>
                <w:kern w:val="0"/>
                <w:sz w:val="24"/>
              </w:rPr>
            </w:pPr>
          </w:p>
        </w:tc>
        <w:tc>
          <w:tcPr>
            <w:tcW w:w="653" w:type="dxa"/>
            <w:tcBorders>
              <w:top w:val="nil"/>
              <w:left w:val="nil"/>
              <w:bottom w:val="single" w:color="auto" w:sz="4" w:space="0"/>
              <w:right w:val="single" w:color="auto" w:sz="4" w:space="0"/>
            </w:tcBorders>
            <w:shd w:val="clear" w:color="auto" w:fill="auto"/>
            <w:noWrap/>
            <w:vAlign w:val="center"/>
          </w:tcPr>
          <w:p w14:paraId="7C62F6BA">
            <w:pPr>
              <w:widowControl/>
              <w:jc w:val="center"/>
              <w:rPr>
                <w:rFonts w:ascii="宋体" w:hAnsi="宋体" w:cs="宋体"/>
                <w:color w:val="000000"/>
                <w:kern w:val="0"/>
                <w:sz w:val="24"/>
              </w:rPr>
            </w:pPr>
          </w:p>
        </w:tc>
        <w:tc>
          <w:tcPr>
            <w:tcW w:w="800" w:type="dxa"/>
            <w:tcBorders>
              <w:top w:val="nil"/>
              <w:left w:val="nil"/>
              <w:bottom w:val="single" w:color="auto" w:sz="4" w:space="0"/>
              <w:right w:val="single" w:color="auto" w:sz="4" w:space="0"/>
            </w:tcBorders>
            <w:shd w:val="clear" w:color="auto" w:fill="auto"/>
            <w:noWrap/>
            <w:vAlign w:val="center"/>
          </w:tcPr>
          <w:p w14:paraId="7BA043FD">
            <w:pPr>
              <w:widowControl/>
              <w:jc w:val="center"/>
              <w:rPr>
                <w:rFonts w:ascii="宋体" w:hAnsi="宋体" w:cs="宋体"/>
                <w:color w:val="000000"/>
                <w:kern w:val="0"/>
                <w:sz w:val="24"/>
              </w:rPr>
            </w:pPr>
          </w:p>
        </w:tc>
        <w:tc>
          <w:tcPr>
            <w:tcW w:w="1080" w:type="dxa"/>
            <w:tcBorders>
              <w:top w:val="nil"/>
              <w:left w:val="nil"/>
              <w:bottom w:val="single" w:color="auto" w:sz="4" w:space="0"/>
              <w:right w:val="single" w:color="auto" w:sz="4" w:space="0"/>
            </w:tcBorders>
            <w:shd w:val="clear" w:color="auto" w:fill="auto"/>
            <w:noWrap/>
            <w:vAlign w:val="center"/>
          </w:tcPr>
          <w:p w14:paraId="4E5D3C04">
            <w:pPr>
              <w:widowControl/>
              <w:jc w:val="center"/>
              <w:rPr>
                <w:rFonts w:ascii="宋体" w:hAnsi="宋体" w:cs="宋体"/>
                <w:color w:val="000000"/>
                <w:kern w:val="0"/>
                <w:sz w:val="24"/>
              </w:rPr>
            </w:pPr>
          </w:p>
        </w:tc>
        <w:tc>
          <w:tcPr>
            <w:tcW w:w="1120" w:type="dxa"/>
            <w:tcBorders>
              <w:top w:val="nil"/>
              <w:left w:val="nil"/>
              <w:bottom w:val="single" w:color="auto" w:sz="4" w:space="0"/>
              <w:right w:val="single" w:color="auto" w:sz="4" w:space="0"/>
            </w:tcBorders>
            <w:shd w:val="clear" w:color="auto" w:fill="auto"/>
            <w:noWrap/>
            <w:vAlign w:val="center"/>
          </w:tcPr>
          <w:p w14:paraId="69D45013">
            <w:pPr>
              <w:widowControl/>
              <w:jc w:val="center"/>
              <w:rPr>
                <w:rFonts w:ascii="宋体" w:hAnsi="宋体" w:cs="宋体"/>
                <w:color w:val="000000"/>
                <w:kern w:val="0"/>
                <w:sz w:val="24"/>
              </w:rPr>
            </w:pPr>
          </w:p>
        </w:tc>
        <w:tc>
          <w:tcPr>
            <w:tcW w:w="1000" w:type="dxa"/>
            <w:tcBorders>
              <w:top w:val="nil"/>
              <w:left w:val="nil"/>
              <w:bottom w:val="single" w:color="auto" w:sz="4" w:space="0"/>
              <w:right w:val="single" w:color="auto" w:sz="4" w:space="0"/>
            </w:tcBorders>
            <w:shd w:val="clear" w:color="auto" w:fill="auto"/>
            <w:noWrap/>
            <w:vAlign w:val="bottom"/>
          </w:tcPr>
          <w:p w14:paraId="1110D4F4">
            <w:pPr>
              <w:widowControl/>
              <w:jc w:val="left"/>
              <w:rPr>
                <w:rFonts w:ascii="宋体" w:hAnsi="宋体" w:cs="宋体"/>
                <w:color w:val="000000"/>
                <w:kern w:val="0"/>
                <w:sz w:val="24"/>
              </w:rPr>
            </w:pPr>
          </w:p>
        </w:tc>
      </w:tr>
      <w:tr w14:paraId="4FAF9A95">
        <w:tblPrEx>
          <w:tblCellMar>
            <w:top w:w="0" w:type="dxa"/>
            <w:left w:w="108" w:type="dxa"/>
            <w:bottom w:w="0" w:type="dxa"/>
            <w:right w:w="108" w:type="dxa"/>
          </w:tblCellMar>
        </w:tblPrEx>
        <w:trPr>
          <w:trHeight w:val="1040" w:hRule="atLeast"/>
        </w:trPr>
        <w:tc>
          <w:tcPr>
            <w:tcW w:w="9218" w:type="dxa"/>
            <w:gridSpan w:val="8"/>
            <w:tcBorders>
              <w:top w:val="single" w:color="auto" w:sz="4" w:space="0"/>
              <w:left w:val="single" w:color="auto" w:sz="4" w:space="0"/>
              <w:bottom w:val="single" w:color="auto" w:sz="4" w:space="0"/>
              <w:right w:val="single" w:color="000000" w:sz="4" w:space="0"/>
            </w:tcBorders>
            <w:shd w:val="clear" w:color="000000" w:fill="FFFFFF"/>
            <w:vAlign w:val="center"/>
          </w:tcPr>
          <w:p w14:paraId="4A5C3D7C">
            <w:pPr>
              <w:widowControl/>
              <w:jc w:val="left"/>
              <w:rPr>
                <w:rFonts w:ascii="宋体" w:hAnsi="宋体" w:cs="宋体"/>
                <w:color w:val="000000"/>
                <w:kern w:val="0"/>
                <w:sz w:val="24"/>
              </w:rPr>
            </w:pPr>
            <w:r>
              <w:rPr>
                <w:rFonts w:hint="eastAsia" w:ascii="宋体" w:hAnsi="宋体" w:cs="宋体"/>
                <w:color w:val="000000"/>
                <w:kern w:val="0"/>
                <w:sz w:val="24"/>
              </w:rPr>
              <w:t xml:space="preserve">   </w:t>
            </w:r>
            <w:r>
              <w:rPr>
                <w:rFonts w:hint="eastAsia" w:ascii="宋体" w:hAnsi="宋体" w:cs="宋体"/>
                <w:w w:val="90"/>
                <w:sz w:val="24"/>
              </w:rPr>
              <w:t>本项目按全费用报价。全费用单价：其应包括但不限于本次项目服务（人工、材料、机械）、辅助耗材、软件、硬件、辅助材料、培训费、人员费用、设备费用、交通费用、运输、税费及其他有关的为完成本项目服务发生的所有费用。</w:t>
            </w:r>
          </w:p>
        </w:tc>
      </w:tr>
    </w:tbl>
    <w:p w14:paraId="1ECA2C7C">
      <w:pPr>
        <w:pStyle w:val="5"/>
        <w:spacing w:line="300" w:lineRule="exact"/>
        <w:jc w:val="left"/>
        <w:rPr>
          <w:rFonts w:ascii="宋体" w:hAnsi="宋体" w:cs="宋体"/>
          <w:bCs w:val="0"/>
          <w:w w:val="90"/>
          <w:szCs w:val="24"/>
        </w:rPr>
      </w:pPr>
      <w:r>
        <w:rPr>
          <w:rFonts w:hint="eastAsia" w:ascii="宋体" w:hAnsi="宋体" w:cs="宋体"/>
          <w:bCs w:val="0"/>
          <w:w w:val="90"/>
          <w:szCs w:val="24"/>
        </w:rPr>
        <w:t>投标单位法人签字或盖章：</w:t>
      </w:r>
    </w:p>
    <w:p w14:paraId="4D19492B">
      <w:pPr>
        <w:rPr>
          <w:rFonts w:ascii="宋体" w:hAnsi="宋体" w:cs="宋体"/>
          <w:sz w:val="24"/>
        </w:rPr>
      </w:pPr>
    </w:p>
    <w:p w14:paraId="5E18D255">
      <w:pPr>
        <w:spacing w:line="300" w:lineRule="exact"/>
        <w:rPr>
          <w:rFonts w:ascii="宋体" w:hAnsi="宋体" w:cs="宋体"/>
          <w:w w:val="90"/>
          <w:sz w:val="24"/>
        </w:rPr>
      </w:pPr>
      <w:r>
        <w:rPr>
          <w:rFonts w:hint="eastAsia" w:ascii="宋体" w:hAnsi="宋体" w:cs="宋体"/>
          <w:w w:val="90"/>
          <w:sz w:val="24"/>
        </w:rPr>
        <w:t>投标单位盖公章：</w:t>
      </w:r>
    </w:p>
    <w:p w14:paraId="7949ED4D">
      <w:pPr>
        <w:spacing w:line="300" w:lineRule="exact"/>
        <w:rPr>
          <w:rFonts w:ascii="宋体" w:hAnsi="宋体" w:cs="宋体"/>
          <w:sz w:val="24"/>
        </w:rPr>
      </w:pPr>
    </w:p>
    <w:p w14:paraId="6DF0C0FF">
      <w:pPr>
        <w:pStyle w:val="23"/>
        <w:spacing w:line="340" w:lineRule="exact"/>
        <w:rPr>
          <w:rFonts w:hint="eastAsia" w:hAnsi="宋体" w:eastAsia="宋体" w:cs="宋体"/>
          <w:b/>
          <w:bCs/>
          <w:sz w:val="24"/>
          <w:szCs w:val="24"/>
          <w:lang w:eastAsia="zh-CN"/>
        </w:rPr>
      </w:pPr>
      <w:r>
        <w:rPr>
          <w:rFonts w:hint="eastAsia" w:hAnsi="宋体" w:cs="宋体"/>
          <w:w w:val="90"/>
          <w:sz w:val="24"/>
          <w:lang w:val="en-US" w:eastAsia="zh-CN"/>
        </w:rPr>
        <w:t>时间：</w:t>
      </w:r>
    </w:p>
    <w:p w14:paraId="4828F6B0">
      <w:pPr>
        <w:pStyle w:val="23"/>
        <w:spacing w:line="340" w:lineRule="exact"/>
        <w:rPr>
          <w:rFonts w:hAnsi="宋体" w:cs="宋体"/>
          <w:b/>
          <w:bCs/>
          <w:sz w:val="24"/>
          <w:szCs w:val="24"/>
        </w:rPr>
      </w:pPr>
      <w:r>
        <w:rPr>
          <w:rFonts w:hint="eastAsia" w:hAnsi="宋体" w:cs="宋体"/>
          <w:b/>
          <w:bCs/>
          <w:sz w:val="24"/>
          <w:szCs w:val="24"/>
        </w:rPr>
        <w:t>注：</w:t>
      </w:r>
    </w:p>
    <w:p w14:paraId="668CA81C">
      <w:pPr>
        <w:pStyle w:val="23"/>
        <w:spacing w:line="340" w:lineRule="exact"/>
        <w:rPr>
          <w:rFonts w:hAnsi="宋体" w:cs="宋体"/>
          <w:sz w:val="24"/>
          <w:szCs w:val="24"/>
        </w:rPr>
      </w:pPr>
      <w:r>
        <w:rPr>
          <w:rFonts w:hint="eastAsia" w:hAnsi="宋体" w:cs="宋体"/>
          <w:sz w:val="24"/>
          <w:szCs w:val="24"/>
        </w:rPr>
        <w:t>1、所有价格系人民币表示。</w:t>
      </w:r>
    </w:p>
    <w:p w14:paraId="3D1A22C6">
      <w:pPr>
        <w:pStyle w:val="23"/>
        <w:spacing w:line="340" w:lineRule="exact"/>
        <w:rPr>
          <w:rFonts w:hAnsi="宋体" w:cs="宋体"/>
          <w:sz w:val="24"/>
          <w:szCs w:val="24"/>
        </w:rPr>
      </w:pPr>
      <w:r>
        <w:rPr>
          <w:rFonts w:hint="eastAsia" w:hAnsi="宋体" w:cs="宋体"/>
          <w:sz w:val="24"/>
          <w:szCs w:val="24"/>
        </w:rPr>
        <w:t>2、以上报价含所有费用，供应商不得再以其他任何理由要求采购人支付其他任何费用。未列明的费用视为分摊到已有的子目之中。</w:t>
      </w:r>
    </w:p>
    <w:p w14:paraId="2EB4CF49">
      <w:pPr>
        <w:pStyle w:val="23"/>
        <w:spacing w:line="340" w:lineRule="exact"/>
        <w:rPr>
          <w:rFonts w:hAnsi="宋体" w:cs="宋体"/>
          <w:sz w:val="24"/>
          <w:szCs w:val="24"/>
        </w:rPr>
      </w:pPr>
      <w:r>
        <w:rPr>
          <w:rFonts w:hint="eastAsia" w:hAnsi="宋体" w:cs="宋体"/>
          <w:sz w:val="24"/>
          <w:szCs w:val="24"/>
        </w:rPr>
        <w:t>3、价格应按照供应商须知第11条的要求报价。</w:t>
      </w:r>
    </w:p>
    <w:p w14:paraId="6980F6B0">
      <w:pPr>
        <w:pStyle w:val="64"/>
        <w:ind w:firstLine="482"/>
        <w:rPr>
          <w:rFonts w:ascii="宋体" w:hAnsi="宋体" w:eastAsia="宋体" w:cs="宋体"/>
          <w:b/>
          <w:sz w:val="24"/>
          <w:szCs w:val="24"/>
        </w:rPr>
      </w:pPr>
    </w:p>
    <w:p w14:paraId="1384AF9B">
      <w:pPr>
        <w:pStyle w:val="64"/>
        <w:ind w:firstLine="482"/>
        <w:rPr>
          <w:rFonts w:ascii="宋体" w:hAnsi="宋体" w:eastAsia="宋体" w:cs="宋体"/>
          <w:b/>
          <w:sz w:val="24"/>
          <w:szCs w:val="24"/>
        </w:rPr>
      </w:pPr>
    </w:p>
    <w:p w14:paraId="645195D6">
      <w:pPr>
        <w:pStyle w:val="64"/>
        <w:ind w:firstLine="482"/>
        <w:rPr>
          <w:rFonts w:ascii="宋体" w:hAnsi="宋体" w:eastAsia="宋体" w:cs="宋体"/>
          <w:b/>
          <w:sz w:val="24"/>
          <w:szCs w:val="24"/>
        </w:rPr>
      </w:pPr>
    </w:p>
    <w:p w14:paraId="28EE2C5A">
      <w:pPr>
        <w:pStyle w:val="64"/>
        <w:ind w:firstLine="482"/>
        <w:rPr>
          <w:rFonts w:ascii="宋体" w:hAnsi="宋体" w:eastAsia="宋体" w:cs="宋体"/>
          <w:b/>
          <w:sz w:val="24"/>
          <w:szCs w:val="24"/>
        </w:rPr>
      </w:pPr>
    </w:p>
    <w:p w14:paraId="54284AF7">
      <w:pPr>
        <w:pStyle w:val="64"/>
        <w:ind w:firstLine="482"/>
        <w:rPr>
          <w:rFonts w:ascii="宋体" w:hAnsi="宋体" w:eastAsia="宋体" w:cs="宋体"/>
          <w:b/>
          <w:sz w:val="24"/>
          <w:szCs w:val="24"/>
        </w:rPr>
      </w:pPr>
    </w:p>
    <w:p w14:paraId="28D0D081">
      <w:pPr>
        <w:pStyle w:val="64"/>
        <w:ind w:firstLine="482"/>
        <w:rPr>
          <w:rFonts w:ascii="宋体" w:hAnsi="宋体" w:eastAsia="宋体" w:cs="宋体"/>
          <w:b/>
          <w:sz w:val="24"/>
          <w:szCs w:val="24"/>
        </w:rPr>
      </w:pPr>
    </w:p>
    <w:p w14:paraId="6DDBB87B">
      <w:pPr>
        <w:pStyle w:val="64"/>
        <w:ind w:firstLine="482"/>
        <w:rPr>
          <w:rFonts w:ascii="宋体" w:hAnsi="宋体" w:eastAsia="宋体" w:cs="宋体"/>
          <w:b/>
          <w:sz w:val="24"/>
          <w:szCs w:val="24"/>
        </w:rPr>
      </w:pPr>
    </w:p>
    <w:p w14:paraId="21413BCC">
      <w:pPr>
        <w:pStyle w:val="64"/>
        <w:ind w:firstLine="482"/>
        <w:rPr>
          <w:rFonts w:ascii="宋体" w:hAnsi="宋体" w:eastAsia="宋体" w:cs="宋体"/>
          <w:b/>
          <w:sz w:val="24"/>
          <w:szCs w:val="24"/>
        </w:rPr>
      </w:pPr>
    </w:p>
    <w:p w14:paraId="5E9FD75A">
      <w:pPr>
        <w:pStyle w:val="64"/>
        <w:ind w:firstLine="482"/>
        <w:rPr>
          <w:rFonts w:ascii="宋体" w:hAnsi="宋体" w:eastAsia="宋体" w:cs="宋体"/>
          <w:b/>
          <w:sz w:val="24"/>
          <w:szCs w:val="24"/>
        </w:rPr>
      </w:pPr>
    </w:p>
    <w:p w14:paraId="35157428">
      <w:pPr>
        <w:pStyle w:val="64"/>
        <w:ind w:firstLine="482"/>
        <w:rPr>
          <w:rFonts w:ascii="宋体" w:hAnsi="宋体" w:eastAsia="宋体" w:cs="宋体"/>
          <w:b/>
          <w:sz w:val="24"/>
          <w:szCs w:val="24"/>
        </w:rPr>
      </w:pPr>
    </w:p>
    <w:p w14:paraId="131601EB">
      <w:pPr>
        <w:pStyle w:val="64"/>
        <w:ind w:firstLine="482"/>
        <w:rPr>
          <w:rFonts w:ascii="宋体" w:hAnsi="宋体" w:eastAsia="宋体" w:cs="宋体"/>
          <w:b/>
          <w:sz w:val="24"/>
          <w:szCs w:val="24"/>
        </w:rPr>
      </w:pPr>
    </w:p>
    <w:p w14:paraId="4E54509D">
      <w:pPr>
        <w:pStyle w:val="64"/>
        <w:ind w:firstLine="482"/>
        <w:rPr>
          <w:rFonts w:ascii="宋体" w:hAnsi="宋体" w:eastAsia="宋体" w:cs="宋体"/>
          <w:b/>
          <w:sz w:val="24"/>
          <w:szCs w:val="24"/>
        </w:rPr>
      </w:pPr>
    </w:p>
    <w:p w14:paraId="13A57260">
      <w:pPr>
        <w:pStyle w:val="64"/>
        <w:ind w:firstLine="482"/>
        <w:rPr>
          <w:rFonts w:ascii="宋体" w:hAnsi="宋体" w:eastAsia="宋体" w:cs="宋体"/>
          <w:b/>
          <w:sz w:val="24"/>
          <w:szCs w:val="24"/>
        </w:rPr>
      </w:pPr>
    </w:p>
    <w:p w14:paraId="432DB408">
      <w:pPr>
        <w:spacing w:line="320" w:lineRule="exact"/>
        <w:jc w:val="center"/>
        <w:rPr>
          <w:rFonts w:ascii="宋体" w:hAnsi="宋体" w:cs="宋体"/>
          <w:b/>
          <w:sz w:val="24"/>
        </w:rPr>
      </w:pPr>
    </w:p>
    <w:p w14:paraId="4B6068F4">
      <w:pPr>
        <w:pStyle w:val="19"/>
        <w:spacing w:before="120" w:line="440" w:lineRule="exact"/>
        <w:ind w:left="0" w:right="0"/>
        <w:jc w:val="center"/>
        <w:rPr>
          <w:rFonts w:ascii="宋体" w:hAnsi="宋体" w:cs="宋体"/>
          <w:b/>
          <w:szCs w:val="24"/>
        </w:rPr>
      </w:pPr>
      <w:r>
        <w:rPr>
          <w:rFonts w:hint="eastAsia" w:ascii="宋体" w:hAnsi="宋体" w:cs="宋体"/>
          <w:b/>
          <w:szCs w:val="24"/>
        </w:rPr>
        <w:t>四、投标技术规格响应偏离表</w:t>
      </w:r>
    </w:p>
    <w:p w14:paraId="4CA72E82">
      <w:pPr>
        <w:tabs>
          <w:tab w:val="left" w:pos="3360"/>
        </w:tabs>
        <w:spacing w:line="440" w:lineRule="exact"/>
        <w:ind w:firstLine="480" w:firstLineChars="200"/>
        <w:jc w:val="center"/>
        <w:outlineLvl w:val="0"/>
        <w:rPr>
          <w:rFonts w:ascii="宋体" w:hAnsi="宋体" w:cs="宋体"/>
          <w:sz w:val="24"/>
        </w:rPr>
      </w:pPr>
      <w:r>
        <w:rPr>
          <w:rFonts w:hint="eastAsia" w:ascii="宋体" w:hAnsi="宋体" w:cs="宋体"/>
          <w:sz w:val="24"/>
        </w:rPr>
        <w:t xml:space="preserve"> (根据响应文件采购需求的内容填写)</w:t>
      </w:r>
    </w:p>
    <w:tbl>
      <w:tblPr>
        <w:tblStyle w:val="46"/>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3" w:type="dxa"/>
          <w:bottom w:w="0" w:type="dxa"/>
          <w:right w:w="3" w:type="dxa"/>
        </w:tblCellMar>
      </w:tblPr>
      <w:tblGrid>
        <w:gridCol w:w="1083"/>
        <w:gridCol w:w="3237"/>
        <w:gridCol w:w="2346"/>
        <w:gridCol w:w="1080"/>
        <w:gridCol w:w="1074"/>
      </w:tblGrid>
      <w:tr w14:paraId="5FC2AD89">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883"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14:paraId="44B01136">
            <w:pPr>
              <w:spacing w:line="360" w:lineRule="auto"/>
              <w:jc w:val="center"/>
              <w:rPr>
                <w:rFonts w:ascii="宋体" w:hAnsi="宋体" w:cs="宋体"/>
                <w:sz w:val="24"/>
              </w:rPr>
            </w:pPr>
            <w:r>
              <w:rPr>
                <w:rFonts w:hint="eastAsia" w:ascii="宋体" w:hAnsi="宋体" w:cs="宋体"/>
                <w:sz w:val="24"/>
              </w:rPr>
              <w:t>序号</w:t>
            </w:r>
          </w:p>
        </w:tc>
        <w:tc>
          <w:tcPr>
            <w:tcW w:w="3237" w:type="dxa"/>
            <w:tcBorders>
              <w:top w:val="single" w:color="auto" w:sz="4" w:space="0"/>
              <w:left w:val="single" w:color="auto" w:sz="4" w:space="0"/>
              <w:bottom w:val="single" w:color="auto" w:sz="4" w:space="0"/>
              <w:right w:val="single" w:color="auto" w:sz="4" w:space="0"/>
            </w:tcBorders>
            <w:vAlign w:val="center"/>
          </w:tcPr>
          <w:p w14:paraId="3191123E">
            <w:pPr>
              <w:jc w:val="center"/>
              <w:rPr>
                <w:rFonts w:ascii="宋体" w:hAnsi="宋体" w:cs="宋体"/>
                <w:sz w:val="24"/>
              </w:rPr>
            </w:pPr>
            <w:r>
              <w:rPr>
                <w:rFonts w:hint="eastAsia" w:ascii="宋体" w:hAnsi="宋体" w:cs="宋体"/>
                <w:sz w:val="24"/>
              </w:rPr>
              <w:t>招标货物（服务）型号、规格</w:t>
            </w:r>
          </w:p>
          <w:p w14:paraId="2575B542">
            <w:pPr>
              <w:jc w:val="center"/>
              <w:rPr>
                <w:rFonts w:ascii="宋体" w:hAnsi="宋体" w:cs="宋体"/>
                <w:sz w:val="24"/>
              </w:rPr>
            </w:pPr>
            <w:r>
              <w:rPr>
                <w:rFonts w:hint="eastAsia" w:ascii="宋体" w:hAnsi="宋体" w:cs="宋体"/>
                <w:sz w:val="24"/>
              </w:rPr>
              <w:t>和技术、性能参数</w:t>
            </w:r>
          </w:p>
        </w:tc>
        <w:tc>
          <w:tcPr>
            <w:tcW w:w="2346" w:type="dxa"/>
            <w:tcBorders>
              <w:top w:val="single" w:color="auto" w:sz="4" w:space="0"/>
              <w:left w:val="single" w:color="auto" w:sz="4" w:space="0"/>
              <w:bottom w:val="single" w:color="auto" w:sz="4" w:space="0"/>
              <w:right w:val="single" w:color="auto" w:sz="4" w:space="0"/>
            </w:tcBorders>
            <w:vAlign w:val="center"/>
          </w:tcPr>
          <w:p w14:paraId="2FB76B8F">
            <w:pPr>
              <w:jc w:val="center"/>
              <w:rPr>
                <w:rFonts w:ascii="宋体" w:hAnsi="宋体" w:cs="宋体"/>
                <w:sz w:val="24"/>
              </w:rPr>
            </w:pPr>
            <w:r>
              <w:rPr>
                <w:rFonts w:hint="eastAsia" w:ascii="宋体" w:hAnsi="宋体" w:cs="宋体"/>
                <w:sz w:val="24"/>
              </w:rPr>
              <w:t>投标货物（服务）型号、规格</w:t>
            </w:r>
          </w:p>
          <w:p w14:paraId="2AA62AD6">
            <w:pPr>
              <w:jc w:val="center"/>
              <w:rPr>
                <w:rFonts w:ascii="宋体" w:hAnsi="宋体" w:cs="宋体"/>
                <w:sz w:val="24"/>
              </w:rPr>
            </w:pPr>
            <w:r>
              <w:rPr>
                <w:rFonts w:hint="eastAsia" w:ascii="宋体" w:hAnsi="宋体" w:cs="宋体"/>
                <w:sz w:val="24"/>
              </w:rPr>
              <w:t>和技术、性能参数</w:t>
            </w:r>
          </w:p>
        </w:tc>
        <w:tc>
          <w:tcPr>
            <w:tcW w:w="1080" w:type="dxa"/>
            <w:tcBorders>
              <w:top w:val="single" w:color="auto" w:sz="4" w:space="0"/>
              <w:left w:val="single" w:color="auto" w:sz="4" w:space="0"/>
              <w:bottom w:val="single" w:color="auto" w:sz="4" w:space="0"/>
              <w:right w:val="single" w:color="auto" w:sz="4" w:space="0"/>
            </w:tcBorders>
            <w:vAlign w:val="center"/>
          </w:tcPr>
          <w:p w14:paraId="43C61E12">
            <w:pPr>
              <w:jc w:val="center"/>
              <w:rPr>
                <w:rFonts w:ascii="宋体" w:hAnsi="宋体" w:cs="宋体"/>
                <w:sz w:val="24"/>
              </w:rPr>
            </w:pPr>
            <w:r>
              <w:rPr>
                <w:rFonts w:hint="eastAsia" w:ascii="宋体" w:hAnsi="宋体" w:cs="宋体"/>
                <w:sz w:val="24"/>
              </w:rPr>
              <w:t>是否</w:t>
            </w:r>
          </w:p>
          <w:p w14:paraId="227C7993">
            <w:pPr>
              <w:jc w:val="center"/>
              <w:rPr>
                <w:rFonts w:ascii="宋体" w:hAnsi="宋体" w:cs="宋体"/>
                <w:sz w:val="24"/>
              </w:rPr>
            </w:pPr>
            <w:r>
              <w:rPr>
                <w:rFonts w:hint="eastAsia" w:ascii="宋体" w:hAnsi="宋体" w:cs="宋体"/>
                <w:sz w:val="24"/>
              </w:rPr>
              <w:t>偏离</w:t>
            </w:r>
          </w:p>
        </w:tc>
        <w:tc>
          <w:tcPr>
            <w:tcW w:w="1074" w:type="dxa"/>
            <w:tcBorders>
              <w:top w:val="single" w:color="auto" w:sz="4" w:space="0"/>
              <w:left w:val="single" w:color="auto" w:sz="4" w:space="0"/>
              <w:bottom w:val="single" w:color="auto" w:sz="4" w:space="0"/>
              <w:right w:val="single" w:color="auto" w:sz="4" w:space="0"/>
            </w:tcBorders>
            <w:vAlign w:val="center"/>
          </w:tcPr>
          <w:p w14:paraId="1C50B87F">
            <w:pPr>
              <w:spacing w:line="360" w:lineRule="auto"/>
              <w:jc w:val="center"/>
              <w:rPr>
                <w:rFonts w:ascii="宋体" w:hAnsi="宋体" w:cs="宋体"/>
                <w:sz w:val="24"/>
              </w:rPr>
            </w:pPr>
            <w:r>
              <w:rPr>
                <w:rFonts w:hint="eastAsia" w:ascii="宋体" w:hAnsi="宋体" w:cs="宋体"/>
                <w:sz w:val="24"/>
              </w:rPr>
              <w:t>备注</w:t>
            </w:r>
          </w:p>
        </w:tc>
      </w:tr>
      <w:tr w14:paraId="20EC8BC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14:paraId="4A8852F6">
            <w:pPr>
              <w:spacing w:line="360" w:lineRule="auto"/>
              <w:jc w:val="center"/>
              <w:rPr>
                <w:rFonts w:ascii="宋体" w:hAnsi="宋体" w:cs="宋体"/>
                <w:sz w:val="24"/>
              </w:rPr>
            </w:pPr>
            <w:r>
              <w:rPr>
                <w:rFonts w:hint="eastAsia" w:ascii="宋体" w:hAnsi="宋体" w:cs="宋体"/>
                <w:sz w:val="24"/>
              </w:rPr>
              <w:t>1</w:t>
            </w:r>
          </w:p>
        </w:tc>
        <w:tc>
          <w:tcPr>
            <w:tcW w:w="3237" w:type="dxa"/>
            <w:tcBorders>
              <w:top w:val="single" w:color="auto" w:sz="4" w:space="0"/>
              <w:left w:val="single" w:color="auto" w:sz="4" w:space="0"/>
              <w:bottom w:val="single" w:color="auto" w:sz="4" w:space="0"/>
              <w:right w:val="single" w:color="auto" w:sz="4" w:space="0"/>
            </w:tcBorders>
            <w:vAlign w:val="center"/>
          </w:tcPr>
          <w:p w14:paraId="6AE37A4F">
            <w:pPr>
              <w:spacing w:line="300" w:lineRule="exact"/>
              <w:jc w:val="center"/>
              <w:rPr>
                <w:rFonts w:hint="eastAsia" w:ascii="宋体" w:hAnsi="宋体" w:eastAsia="宋体" w:cs="宋体"/>
                <w:sz w:val="24"/>
                <w:lang w:eastAsia="zh-CN"/>
              </w:rPr>
            </w:pPr>
            <w:r>
              <w:rPr>
                <w:rFonts w:hint="eastAsia" w:ascii="宋体" w:hAnsi="宋体" w:cs="宋体"/>
                <w:sz w:val="24"/>
                <w:lang w:eastAsia="zh-CN"/>
              </w:rPr>
              <w:t>江苏盱眙农村商业银行不动产抵押及其他抵质押交易价格评估服务项目</w:t>
            </w:r>
          </w:p>
        </w:tc>
        <w:tc>
          <w:tcPr>
            <w:tcW w:w="2346" w:type="dxa"/>
            <w:tcBorders>
              <w:top w:val="single" w:color="auto" w:sz="4" w:space="0"/>
              <w:left w:val="single" w:color="auto" w:sz="4" w:space="0"/>
              <w:bottom w:val="single" w:color="auto" w:sz="4" w:space="0"/>
              <w:right w:val="single" w:color="auto" w:sz="4" w:space="0"/>
            </w:tcBorders>
            <w:vAlign w:val="center"/>
          </w:tcPr>
          <w:p w14:paraId="33D82BD3">
            <w:pPr>
              <w:spacing w:line="300" w:lineRule="exact"/>
              <w:jc w:val="center"/>
              <w:rPr>
                <w:rFonts w:hint="eastAsia" w:ascii="宋体" w:hAnsi="宋体" w:eastAsia="宋体" w:cs="宋体"/>
                <w:sz w:val="24"/>
                <w:lang w:eastAsia="zh-CN"/>
              </w:rPr>
            </w:pPr>
            <w:r>
              <w:rPr>
                <w:rFonts w:hint="eastAsia" w:ascii="宋体" w:hAnsi="宋体" w:cs="宋体"/>
                <w:sz w:val="24"/>
                <w:lang w:eastAsia="zh-CN"/>
              </w:rPr>
              <w:t>江苏盱眙农村商业银行不动产抵押及其他抵质押交易价格评估服务项目</w:t>
            </w:r>
          </w:p>
        </w:tc>
        <w:tc>
          <w:tcPr>
            <w:tcW w:w="1080" w:type="dxa"/>
            <w:tcBorders>
              <w:top w:val="single" w:color="auto" w:sz="4" w:space="0"/>
              <w:left w:val="single" w:color="auto" w:sz="4" w:space="0"/>
              <w:bottom w:val="single" w:color="auto" w:sz="4" w:space="0"/>
              <w:right w:val="single" w:color="auto" w:sz="4" w:space="0"/>
            </w:tcBorders>
            <w:vAlign w:val="center"/>
          </w:tcPr>
          <w:p w14:paraId="071612B3">
            <w:pPr>
              <w:spacing w:line="360" w:lineRule="auto"/>
              <w:jc w:val="center"/>
              <w:rPr>
                <w:rFonts w:ascii="宋体" w:hAnsi="宋体" w:cs="宋体"/>
                <w:sz w:val="24"/>
              </w:rPr>
            </w:pPr>
          </w:p>
        </w:tc>
        <w:tc>
          <w:tcPr>
            <w:tcW w:w="1074" w:type="dxa"/>
            <w:tcBorders>
              <w:top w:val="single" w:color="auto" w:sz="4" w:space="0"/>
              <w:left w:val="single" w:color="auto" w:sz="4" w:space="0"/>
              <w:bottom w:val="single" w:color="auto" w:sz="4" w:space="0"/>
              <w:right w:val="single" w:color="auto" w:sz="4" w:space="0"/>
            </w:tcBorders>
            <w:vAlign w:val="center"/>
          </w:tcPr>
          <w:p w14:paraId="74D816B8">
            <w:pPr>
              <w:spacing w:line="360" w:lineRule="auto"/>
              <w:jc w:val="center"/>
              <w:rPr>
                <w:rFonts w:ascii="宋体" w:hAnsi="宋体" w:cs="宋体"/>
                <w:sz w:val="24"/>
              </w:rPr>
            </w:pPr>
          </w:p>
        </w:tc>
      </w:tr>
      <w:tr w14:paraId="24C26A4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bottom w:val="single" w:color="auto" w:sz="4" w:space="0"/>
              <w:right w:val="single" w:color="auto" w:sz="4" w:space="0"/>
            </w:tcBorders>
            <w:vAlign w:val="center"/>
          </w:tcPr>
          <w:p w14:paraId="2DBC1429">
            <w:pPr>
              <w:spacing w:line="360" w:lineRule="auto"/>
              <w:jc w:val="center"/>
              <w:rPr>
                <w:rFonts w:ascii="宋体" w:hAnsi="宋体" w:cs="宋体"/>
                <w:sz w:val="24"/>
              </w:rPr>
            </w:pPr>
          </w:p>
        </w:tc>
        <w:tc>
          <w:tcPr>
            <w:tcW w:w="3237" w:type="dxa"/>
            <w:tcBorders>
              <w:top w:val="single" w:color="auto" w:sz="4" w:space="0"/>
              <w:left w:val="single" w:color="auto" w:sz="4" w:space="0"/>
              <w:bottom w:val="single" w:color="auto" w:sz="4" w:space="0"/>
              <w:right w:val="single" w:color="auto" w:sz="4" w:space="0"/>
            </w:tcBorders>
            <w:vAlign w:val="center"/>
          </w:tcPr>
          <w:p w14:paraId="235E36D2">
            <w:pPr>
              <w:spacing w:line="300" w:lineRule="exact"/>
              <w:jc w:val="center"/>
              <w:rPr>
                <w:rFonts w:ascii="宋体" w:hAnsi="宋体" w:cs="宋体"/>
                <w:sz w:val="24"/>
              </w:rPr>
            </w:pPr>
          </w:p>
        </w:tc>
        <w:tc>
          <w:tcPr>
            <w:tcW w:w="2346" w:type="dxa"/>
            <w:tcBorders>
              <w:top w:val="single" w:color="auto" w:sz="4" w:space="0"/>
              <w:left w:val="single" w:color="auto" w:sz="4" w:space="0"/>
              <w:bottom w:val="single" w:color="auto" w:sz="4" w:space="0"/>
              <w:right w:val="single" w:color="auto" w:sz="4" w:space="0"/>
            </w:tcBorders>
            <w:vAlign w:val="center"/>
          </w:tcPr>
          <w:p w14:paraId="7069EC87">
            <w:pPr>
              <w:spacing w:line="300" w:lineRule="exact"/>
              <w:jc w:val="center"/>
              <w:rPr>
                <w:rFonts w:ascii="宋体" w:hAnsi="宋体" w:cs="宋体"/>
                <w:sz w:val="24"/>
              </w:rPr>
            </w:pPr>
          </w:p>
        </w:tc>
        <w:tc>
          <w:tcPr>
            <w:tcW w:w="1080" w:type="dxa"/>
            <w:tcBorders>
              <w:top w:val="single" w:color="auto" w:sz="4" w:space="0"/>
              <w:left w:val="single" w:color="auto" w:sz="4" w:space="0"/>
              <w:bottom w:val="single" w:color="auto" w:sz="4" w:space="0"/>
              <w:right w:val="single" w:color="auto" w:sz="4" w:space="0"/>
            </w:tcBorders>
            <w:vAlign w:val="center"/>
          </w:tcPr>
          <w:p w14:paraId="2AA3F9DF">
            <w:pPr>
              <w:spacing w:line="360" w:lineRule="auto"/>
              <w:jc w:val="center"/>
              <w:rPr>
                <w:rFonts w:ascii="宋体" w:hAnsi="宋体" w:cs="宋体"/>
                <w:sz w:val="24"/>
              </w:rPr>
            </w:pPr>
          </w:p>
        </w:tc>
        <w:tc>
          <w:tcPr>
            <w:tcW w:w="1074" w:type="dxa"/>
            <w:tcBorders>
              <w:top w:val="single" w:color="auto" w:sz="4" w:space="0"/>
              <w:left w:val="single" w:color="auto" w:sz="4" w:space="0"/>
              <w:bottom w:val="single" w:color="auto" w:sz="4" w:space="0"/>
              <w:right w:val="single" w:color="auto" w:sz="4" w:space="0"/>
            </w:tcBorders>
            <w:vAlign w:val="center"/>
          </w:tcPr>
          <w:p w14:paraId="6FB5992E">
            <w:pPr>
              <w:spacing w:line="360" w:lineRule="auto"/>
              <w:jc w:val="center"/>
              <w:rPr>
                <w:rFonts w:ascii="宋体" w:hAnsi="宋体" w:cs="宋体"/>
                <w:sz w:val="24"/>
              </w:rPr>
            </w:pPr>
          </w:p>
        </w:tc>
      </w:tr>
      <w:tr w14:paraId="294CB5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right w:val="single" w:color="auto" w:sz="4" w:space="0"/>
            </w:tcBorders>
            <w:vAlign w:val="center"/>
          </w:tcPr>
          <w:p w14:paraId="517312DC">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14:paraId="46A75431">
            <w:pPr>
              <w:spacing w:line="360" w:lineRule="auto"/>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14:paraId="1C55C693">
            <w:pPr>
              <w:tabs>
                <w:tab w:val="left" w:pos="900"/>
              </w:tabs>
              <w:spacing w:line="440" w:lineRule="exact"/>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14:paraId="21AFC906">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14:paraId="6FBFB9ED">
            <w:pPr>
              <w:spacing w:line="360" w:lineRule="auto"/>
              <w:jc w:val="center"/>
              <w:rPr>
                <w:rFonts w:ascii="宋体" w:hAnsi="宋体" w:cs="宋体"/>
                <w:sz w:val="24"/>
              </w:rPr>
            </w:pPr>
          </w:p>
        </w:tc>
      </w:tr>
      <w:tr w14:paraId="344D0F6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cantSplit/>
          <w:trHeight w:val="630" w:hRule="atLeast"/>
          <w:jc w:val="center"/>
        </w:trPr>
        <w:tc>
          <w:tcPr>
            <w:tcW w:w="1083" w:type="dxa"/>
            <w:tcBorders>
              <w:top w:val="single" w:color="auto" w:sz="4" w:space="0"/>
              <w:left w:val="single" w:color="auto" w:sz="4" w:space="0"/>
              <w:right w:val="single" w:color="auto" w:sz="4" w:space="0"/>
            </w:tcBorders>
            <w:vAlign w:val="center"/>
          </w:tcPr>
          <w:p w14:paraId="7EE0B721">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14:paraId="0DDE5E6F">
            <w:pPr>
              <w:spacing w:line="300" w:lineRule="exact"/>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14:paraId="26D97C1A">
            <w:pPr>
              <w:spacing w:line="300" w:lineRule="exact"/>
              <w:jc w:val="center"/>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14:paraId="007AB8A2">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14:paraId="7F09C164">
            <w:pPr>
              <w:spacing w:line="360" w:lineRule="auto"/>
              <w:jc w:val="center"/>
              <w:rPr>
                <w:rFonts w:ascii="宋体" w:hAnsi="宋体" w:cs="宋体"/>
                <w:sz w:val="24"/>
              </w:rPr>
            </w:pPr>
          </w:p>
        </w:tc>
      </w:tr>
      <w:tr w14:paraId="3553F14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0B554514">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14:paraId="6147D57F">
            <w:pPr>
              <w:spacing w:line="360" w:lineRule="auto"/>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14:paraId="1BD6630C">
            <w:pPr>
              <w:spacing w:line="360" w:lineRule="auto"/>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14:paraId="0AA28B25">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14:paraId="18C0BE5F">
            <w:pPr>
              <w:spacing w:line="360" w:lineRule="auto"/>
              <w:jc w:val="center"/>
              <w:rPr>
                <w:rFonts w:ascii="宋体" w:hAnsi="宋体" w:cs="宋体"/>
                <w:sz w:val="24"/>
              </w:rPr>
            </w:pPr>
          </w:p>
        </w:tc>
      </w:tr>
      <w:tr w14:paraId="3DD1F4A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705BA4BA">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14:paraId="06CB6A69">
            <w:pPr>
              <w:spacing w:line="300" w:lineRule="exact"/>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14:paraId="44BDF4EB">
            <w:pPr>
              <w:spacing w:line="300" w:lineRule="exact"/>
              <w:jc w:val="center"/>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14:paraId="4669ACBE">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14:paraId="5F14D8E7">
            <w:pPr>
              <w:spacing w:line="360" w:lineRule="auto"/>
              <w:jc w:val="center"/>
              <w:rPr>
                <w:rFonts w:ascii="宋体" w:hAnsi="宋体" w:cs="宋体"/>
                <w:sz w:val="24"/>
              </w:rPr>
            </w:pPr>
          </w:p>
        </w:tc>
      </w:tr>
      <w:tr w14:paraId="302FDC3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3AA28EBE">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14:paraId="094AE917">
            <w:pPr>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14:paraId="19DCD792">
            <w:pPr>
              <w:jc w:val="center"/>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14:paraId="4846C911">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14:paraId="5E9C6086">
            <w:pPr>
              <w:spacing w:line="360" w:lineRule="auto"/>
              <w:jc w:val="center"/>
              <w:rPr>
                <w:rFonts w:ascii="宋体" w:hAnsi="宋体" w:cs="宋体"/>
                <w:sz w:val="24"/>
              </w:rPr>
            </w:pPr>
          </w:p>
        </w:tc>
      </w:tr>
      <w:tr w14:paraId="6981E95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37209E53">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14:paraId="7966964A">
            <w:pPr>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14:paraId="6FA0814D">
            <w:pPr>
              <w:jc w:val="center"/>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14:paraId="7B8D60E1">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14:paraId="79CA85F4">
            <w:pPr>
              <w:spacing w:line="360" w:lineRule="auto"/>
              <w:jc w:val="center"/>
              <w:rPr>
                <w:rFonts w:ascii="宋体" w:hAnsi="宋体" w:cs="宋体"/>
                <w:sz w:val="24"/>
              </w:rPr>
            </w:pPr>
          </w:p>
        </w:tc>
      </w:tr>
      <w:tr w14:paraId="52BAE8B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37E16049">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14:paraId="5C379467">
            <w:pPr>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14:paraId="5B4522FC">
            <w:pPr>
              <w:jc w:val="center"/>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14:paraId="065C0926">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14:paraId="13D7A3FD">
            <w:pPr>
              <w:spacing w:line="360" w:lineRule="auto"/>
              <w:jc w:val="center"/>
              <w:rPr>
                <w:rFonts w:ascii="宋体" w:hAnsi="宋体" w:cs="宋体"/>
                <w:sz w:val="24"/>
              </w:rPr>
            </w:pPr>
          </w:p>
        </w:tc>
      </w:tr>
      <w:tr w14:paraId="13089FC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3" w:type="dxa"/>
            <w:bottom w:w="0" w:type="dxa"/>
            <w:right w:w="3" w:type="dxa"/>
          </w:tblCellMar>
        </w:tblPrEx>
        <w:trPr>
          <w:trHeight w:val="630" w:hRule="atLeast"/>
          <w:jc w:val="center"/>
        </w:trPr>
        <w:tc>
          <w:tcPr>
            <w:tcW w:w="1083" w:type="dxa"/>
            <w:tcBorders>
              <w:top w:val="single" w:color="auto" w:sz="4" w:space="0"/>
              <w:left w:val="single" w:color="auto" w:sz="4" w:space="0"/>
              <w:right w:val="single" w:color="auto" w:sz="4" w:space="0"/>
            </w:tcBorders>
            <w:vAlign w:val="center"/>
          </w:tcPr>
          <w:p w14:paraId="677DA896">
            <w:pPr>
              <w:spacing w:line="360" w:lineRule="auto"/>
              <w:jc w:val="center"/>
              <w:rPr>
                <w:rFonts w:ascii="宋体" w:hAnsi="宋体" w:cs="宋体"/>
                <w:sz w:val="24"/>
              </w:rPr>
            </w:pPr>
          </w:p>
        </w:tc>
        <w:tc>
          <w:tcPr>
            <w:tcW w:w="3237" w:type="dxa"/>
            <w:tcBorders>
              <w:top w:val="single" w:color="auto" w:sz="4" w:space="0"/>
              <w:left w:val="single" w:color="auto" w:sz="4" w:space="0"/>
              <w:right w:val="single" w:color="auto" w:sz="4" w:space="0"/>
            </w:tcBorders>
            <w:vAlign w:val="center"/>
          </w:tcPr>
          <w:p w14:paraId="5AB97DF9">
            <w:pPr>
              <w:jc w:val="center"/>
              <w:rPr>
                <w:rFonts w:ascii="宋体" w:hAnsi="宋体" w:cs="宋体"/>
                <w:sz w:val="24"/>
              </w:rPr>
            </w:pPr>
          </w:p>
        </w:tc>
        <w:tc>
          <w:tcPr>
            <w:tcW w:w="2346" w:type="dxa"/>
            <w:tcBorders>
              <w:top w:val="single" w:color="auto" w:sz="4" w:space="0"/>
              <w:left w:val="single" w:color="auto" w:sz="4" w:space="0"/>
              <w:right w:val="single" w:color="auto" w:sz="4" w:space="0"/>
            </w:tcBorders>
            <w:vAlign w:val="center"/>
          </w:tcPr>
          <w:p w14:paraId="1922A07C">
            <w:pPr>
              <w:jc w:val="center"/>
              <w:rPr>
                <w:rFonts w:ascii="宋体" w:hAnsi="宋体" w:cs="宋体"/>
                <w:sz w:val="24"/>
              </w:rPr>
            </w:pPr>
          </w:p>
        </w:tc>
        <w:tc>
          <w:tcPr>
            <w:tcW w:w="1080" w:type="dxa"/>
            <w:tcBorders>
              <w:top w:val="single" w:color="auto" w:sz="4" w:space="0"/>
              <w:left w:val="single" w:color="auto" w:sz="4" w:space="0"/>
              <w:right w:val="single" w:color="auto" w:sz="4" w:space="0"/>
            </w:tcBorders>
            <w:vAlign w:val="center"/>
          </w:tcPr>
          <w:p w14:paraId="60738585">
            <w:pPr>
              <w:spacing w:line="360" w:lineRule="auto"/>
              <w:jc w:val="center"/>
              <w:rPr>
                <w:rFonts w:ascii="宋体" w:hAnsi="宋体" w:cs="宋体"/>
                <w:sz w:val="24"/>
              </w:rPr>
            </w:pPr>
          </w:p>
        </w:tc>
        <w:tc>
          <w:tcPr>
            <w:tcW w:w="1074" w:type="dxa"/>
            <w:tcBorders>
              <w:top w:val="single" w:color="auto" w:sz="4" w:space="0"/>
              <w:left w:val="single" w:color="auto" w:sz="4" w:space="0"/>
              <w:right w:val="single" w:color="auto" w:sz="4" w:space="0"/>
            </w:tcBorders>
            <w:vAlign w:val="center"/>
          </w:tcPr>
          <w:p w14:paraId="4AD61C4D">
            <w:pPr>
              <w:spacing w:line="360" w:lineRule="auto"/>
              <w:jc w:val="center"/>
              <w:rPr>
                <w:rFonts w:ascii="宋体" w:hAnsi="宋体" w:cs="宋体"/>
                <w:sz w:val="24"/>
              </w:rPr>
            </w:pPr>
          </w:p>
        </w:tc>
      </w:tr>
    </w:tbl>
    <w:p w14:paraId="4CE634B0">
      <w:pPr>
        <w:spacing w:line="520" w:lineRule="exact"/>
        <w:rPr>
          <w:rFonts w:ascii="宋体" w:hAnsi="宋体" w:cs="宋体"/>
          <w:sz w:val="24"/>
          <w:u w:val="single"/>
        </w:rPr>
      </w:pPr>
      <w:r>
        <w:rPr>
          <w:rFonts w:hint="eastAsia" w:ascii="宋体" w:hAnsi="宋体" w:cs="宋体"/>
          <w:sz w:val="24"/>
        </w:rPr>
        <w:t>投标人：</w:t>
      </w:r>
      <w:r>
        <w:rPr>
          <w:rFonts w:hint="eastAsia" w:ascii="宋体" w:hAnsi="宋体" w:cs="宋体"/>
          <w:sz w:val="24"/>
          <w:u w:val="single"/>
        </w:rPr>
        <w:t xml:space="preserve">     （加盖公章）     </w:t>
      </w:r>
    </w:p>
    <w:p w14:paraId="368021E6">
      <w:pPr>
        <w:spacing w:line="520" w:lineRule="exact"/>
        <w:rPr>
          <w:rFonts w:ascii="宋体" w:hAnsi="宋体" w:cs="宋体"/>
          <w:sz w:val="24"/>
          <w:u w:val="single"/>
        </w:rPr>
      </w:pPr>
      <w:r>
        <w:rPr>
          <w:rFonts w:hint="eastAsia" w:ascii="宋体" w:hAnsi="宋体" w:cs="宋体"/>
          <w:sz w:val="24"/>
        </w:rPr>
        <w:t>法定代表人或其委托受托人签字：</w:t>
      </w:r>
      <w:r>
        <w:rPr>
          <w:rFonts w:hint="eastAsia" w:ascii="宋体" w:hAnsi="宋体" w:cs="宋体"/>
          <w:sz w:val="24"/>
          <w:u w:val="single"/>
        </w:rPr>
        <w:t xml:space="preserve">               </w:t>
      </w:r>
    </w:p>
    <w:p w14:paraId="6CA145D9">
      <w:pPr>
        <w:spacing w:line="440" w:lineRule="exact"/>
        <w:rPr>
          <w:rFonts w:ascii="宋体" w:hAnsi="宋体" w:cs="宋体"/>
          <w:sz w:val="24"/>
        </w:rPr>
      </w:pPr>
      <w:r>
        <w:rPr>
          <w:rFonts w:hint="eastAsia" w:ascii="宋体" w:hAnsi="宋体" w:cs="宋体"/>
          <w:sz w:val="24"/>
        </w:rPr>
        <w:t xml:space="preserve">注：（1）此表为表样，行数可自行添加，但表式不变。 </w:t>
      </w:r>
    </w:p>
    <w:p w14:paraId="0201991C">
      <w:pPr>
        <w:spacing w:line="440" w:lineRule="exact"/>
        <w:ind w:firstLine="360" w:firstLineChars="150"/>
        <w:rPr>
          <w:rFonts w:ascii="宋体" w:hAnsi="宋体" w:cs="宋体"/>
          <w:sz w:val="24"/>
        </w:rPr>
      </w:pPr>
      <w:r>
        <w:rPr>
          <w:rFonts w:hint="eastAsia" w:ascii="宋体" w:hAnsi="宋体" w:cs="宋体"/>
          <w:sz w:val="24"/>
        </w:rPr>
        <w:t xml:space="preserve">（2）是否偏离用符号“+、=、-”分别表示正偏离、完全响应、负偏离。 </w:t>
      </w:r>
    </w:p>
    <w:p w14:paraId="125B83A4">
      <w:pPr>
        <w:pStyle w:val="64"/>
        <w:ind w:firstLine="480"/>
        <w:rPr>
          <w:rFonts w:ascii="宋体" w:hAnsi="宋体" w:eastAsia="宋体" w:cs="宋体"/>
          <w:sz w:val="24"/>
          <w:szCs w:val="24"/>
        </w:rPr>
      </w:pPr>
    </w:p>
    <w:p w14:paraId="5BD5F475">
      <w:pPr>
        <w:rPr>
          <w:rFonts w:ascii="宋体" w:hAnsi="宋体" w:cs="宋体"/>
          <w:sz w:val="24"/>
        </w:rPr>
      </w:pPr>
    </w:p>
    <w:bookmarkEnd w:id="40"/>
    <w:p w14:paraId="3A102118">
      <w:pPr>
        <w:spacing w:line="440" w:lineRule="exact"/>
        <w:rPr>
          <w:rFonts w:ascii="宋体" w:hAnsi="宋体" w:cs="宋体"/>
          <w:b/>
          <w:bCs/>
          <w:sz w:val="24"/>
        </w:rPr>
      </w:pPr>
    </w:p>
    <w:p w14:paraId="17D26179">
      <w:pPr>
        <w:pStyle w:val="64"/>
        <w:ind w:firstLine="480"/>
        <w:rPr>
          <w:rFonts w:ascii="宋体" w:hAnsi="宋体" w:eastAsia="宋体" w:cs="宋体"/>
          <w:sz w:val="24"/>
          <w:szCs w:val="24"/>
        </w:rPr>
      </w:pPr>
    </w:p>
    <w:p w14:paraId="7CF22AEE">
      <w:pPr>
        <w:pStyle w:val="64"/>
        <w:ind w:firstLine="480"/>
        <w:rPr>
          <w:rFonts w:ascii="宋体" w:hAnsi="宋体" w:eastAsia="宋体" w:cs="宋体"/>
          <w:sz w:val="24"/>
          <w:szCs w:val="24"/>
        </w:rPr>
      </w:pPr>
    </w:p>
    <w:p w14:paraId="7165F3B4">
      <w:pPr>
        <w:pStyle w:val="64"/>
        <w:ind w:firstLine="480"/>
        <w:rPr>
          <w:rFonts w:ascii="宋体" w:hAnsi="宋体" w:eastAsia="宋体" w:cs="宋体"/>
          <w:sz w:val="24"/>
          <w:szCs w:val="24"/>
        </w:rPr>
      </w:pPr>
    </w:p>
    <w:p w14:paraId="6F433B58">
      <w:pPr>
        <w:pStyle w:val="64"/>
        <w:ind w:firstLine="480"/>
        <w:rPr>
          <w:rFonts w:ascii="宋体" w:hAnsi="宋体" w:eastAsia="宋体" w:cs="宋体"/>
          <w:sz w:val="24"/>
          <w:szCs w:val="24"/>
        </w:rPr>
      </w:pPr>
    </w:p>
    <w:p w14:paraId="0148A206">
      <w:pPr>
        <w:pStyle w:val="64"/>
        <w:ind w:firstLine="480"/>
        <w:rPr>
          <w:rFonts w:ascii="宋体" w:hAnsi="宋体" w:eastAsia="宋体" w:cs="宋体"/>
          <w:sz w:val="24"/>
          <w:szCs w:val="24"/>
        </w:rPr>
      </w:pPr>
    </w:p>
    <w:p w14:paraId="5A7C67D1">
      <w:pPr>
        <w:pStyle w:val="64"/>
        <w:ind w:firstLine="480"/>
        <w:rPr>
          <w:rFonts w:ascii="宋体" w:hAnsi="宋体" w:eastAsia="宋体" w:cs="宋体"/>
          <w:sz w:val="24"/>
          <w:szCs w:val="24"/>
        </w:rPr>
      </w:pPr>
    </w:p>
    <w:p w14:paraId="71A79A23">
      <w:pPr>
        <w:pStyle w:val="64"/>
        <w:ind w:firstLine="480"/>
        <w:rPr>
          <w:rFonts w:ascii="宋体" w:hAnsi="宋体" w:eastAsia="宋体" w:cs="宋体"/>
          <w:sz w:val="24"/>
          <w:szCs w:val="24"/>
        </w:rPr>
      </w:pPr>
    </w:p>
    <w:p w14:paraId="45D11485">
      <w:pPr>
        <w:spacing w:line="440" w:lineRule="exact"/>
        <w:jc w:val="center"/>
        <w:rPr>
          <w:rFonts w:ascii="宋体" w:hAnsi="宋体" w:cs="宋体"/>
          <w:b/>
          <w:bCs/>
          <w:sz w:val="24"/>
        </w:rPr>
      </w:pPr>
      <w:bookmarkStart w:id="41" w:name="_Hlk38802776"/>
      <w:r>
        <w:rPr>
          <w:rFonts w:hint="eastAsia" w:ascii="宋体" w:hAnsi="宋体" w:cs="宋体"/>
          <w:b/>
          <w:color w:val="000000"/>
          <w:sz w:val="24"/>
        </w:rPr>
        <w:t>五、</w:t>
      </w:r>
      <w:r>
        <w:rPr>
          <w:rFonts w:hint="eastAsia" w:ascii="宋体" w:hAnsi="宋体" w:cs="宋体"/>
          <w:b/>
          <w:bCs/>
          <w:sz w:val="24"/>
        </w:rPr>
        <w:t>服务承诺</w:t>
      </w:r>
    </w:p>
    <w:p w14:paraId="010D0A10">
      <w:pPr>
        <w:spacing w:line="440" w:lineRule="exact"/>
        <w:jc w:val="center"/>
        <w:rPr>
          <w:rFonts w:ascii="宋体" w:hAnsi="宋体" w:cs="宋体"/>
          <w:b/>
          <w:sz w:val="24"/>
        </w:rPr>
      </w:pPr>
      <w:r>
        <w:rPr>
          <w:rFonts w:hint="eastAsia" w:ascii="宋体" w:hAnsi="宋体" w:cs="宋体"/>
          <w:b/>
          <w:sz w:val="24"/>
        </w:rPr>
        <w:t>（包括但不限于磋商文件对于“质量保证及售后服务”的要求，格式由磋商供应商自定、加盖公章。）</w:t>
      </w:r>
    </w:p>
    <w:p w14:paraId="6C47AFD2">
      <w:pPr>
        <w:spacing w:line="440" w:lineRule="exact"/>
        <w:rPr>
          <w:rFonts w:ascii="宋体" w:hAnsi="宋体" w:cs="宋体"/>
          <w:b/>
          <w:bCs/>
          <w:sz w:val="24"/>
        </w:rPr>
      </w:pPr>
    </w:p>
    <w:bookmarkEnd w:id="41"/>
    <w:p w14:paraId="15310B58">
      <w:pPr>
        <w:spacing w:line="440" w:lineRule="exact"/>
        <w:rPr>
          <w:rFonts w:ascii="宋体" w:hAnsi="宋体" w:cs="宋体"/>
          <w:b/>
          <w:bCs/>
          <w:sz w:val="24"/>
        </w:rPr>
      </w:pPr>
    </w:p>
    <w:p w14:paraId="158CFE52">
      <w:pPr>
        <w:spacing w:line="440" w:lineRule="exact"/>
        <w:rPr>
          <w:rFonts w:ascii="宋体" w:hAnsi="宋体" w:cs="宋体"/>
          <w:b/>
          <w:bCs/>
          <w:sz w:val="24"/>
        </w:rPr>
      </w:pPr>
    </w:p>
    <w:p w14:paraId="5D0550FA">
      <w:pPr>
        <w:autoSpaceDE w:val="0"/>
        <w:autoSpaceDN w:val="0"/>
        <w:adjustRightInd w:val="0"/>
        <w:spacing w:line="480" w:lineRule="exact"/>
        <w:ind w:right="560"/>
        <w:rPr>
          <w:rFonts w:ascii="宋体" w:hAnsi="宋体" w:cs="宋体"/>
          <w:b/>
          <w:bCs/>
          <w:sz w:val="24"/>
        </w:rPr>
      </w:pPr>
    </w:p>
    <w:p w14:paraId="300061B6">
      <w:pPr>
        <w:autoSpaceDE w:val="0"/>
        <w:autoSpaceDN w:val="0"/>
        <w:adjustRightInd w:val="0"/>
        <w:spacing w:line="480" w:lineRule="exact"/>
        <w:ind w:right="560"/>
        <w:rPr>
          <w:rFonts w:ascii="宋体" w:hAnsi="宋体" w:cs="宋体"/>
          <w:b/>
          <w:bCs/>
          <w:sz w:val="24"/>
        </w:rPr>
      </w:pPr>
    </w:p>
    <w:p w14:paraId="19B14342">
      <w:pPr>
        <w:autoSpaceDE w:val="0"/>
        <w:autoSpaceDN w:val="0"/>
        <w:adjustRightInd w:val="0"/>
        <w:spacing w:line="480" w:lineRule="exact"/>
        <w:ind w:right="560"/>
        <w:rPr>
          <w:rFonts w:ascii="宋体" w:hAnsi="宋体" w:cs="宋体"/>
          <w:b/>
          <w:bCs/>
          <w:sz w:val="24"/>
        </w:rPr>
      </w:pPr>
    </w:p>
    <w:p w14:paraId="406E0109">
      <w:pPr>
        <w:spacing w:line="520" w:lineRule="exact"/>
        <w:rPr>
          <w:rFonts w:ascii="宋体" w:hAnsi="宋体" w:cs="宋体"/>
          <w:w w:val="90"/>
          <w:sz w:val="24"/>
        </w:rPr>
      </w:pPr>
    </w:p>
    <w:p w14:paraId="572A89BD">
      <w:pPr>
        <w:spacing w:line="520" w:lineRule="exact"/>
        <w:rPr>
          <w:rFonts w:ascii="宋体" w:hAnsi="宋体" w:cs="宋体"/>
          <w:w w:val="90"/>
          <w:sz w:val="24"/>
        </w:rPr>
      </w:pPr>
      <w:r>
        <w:rPr>
          <w:rFonts w:hint="eastAsia" w:ascii="宋体" w:hAnsi="宋体" w:cs="宋体"/>
          <w:w w:val="90"/>
          <w:sz w:val="24"/>
        </w:rPr>
        <w:t>磋商供应商：</w:t>
      </w:r>
      <w:r>
        <w:rPr>
          <w:rFonts w:hint="eastAsia" w:ascii="宋体" w:hAnsi="宋体" w:cs="宋体"/>
          <w:w w:val="90"/>
          <w:sz w:val="24"/>
          <w:u w:val="single"/>
        </w:rPr>
        <w:t>（加盖公章）</w:t>
      </w:r>
    </w:p>
    <w:p w14:paraId="15F2FED7">
      <w:pPr>
        <w:spacing w:line="520" w:lineRule="exact"/>
        <w:rPr>
          <w:rFonts w:ascii="宋体" w:hAnsi="宋体" w:cs="宋体"/>
          <w:w w:val="90"/>
          <w:sz w:val="24"/>
          <w:u w:val="single"/>
        </w:rPr>
      </w:pPr>
      <w:r>
        <w:rPr>
          <w:rFonts w:hint="eastAsia" w:ascii="宋体" w:hAnsi="宋体" w:cs="宋体"/>
          <w:w w:val="90"/>
          <w:sz w:val="24"/>
        </w:rPr>
        <w:t>法定代表人或其委托受托人签字：</w:t>
      </w:r>
    </w:p>
    <w:p w14:paraId="26273627">
      <w:pPr>
        <w:spacing w:line="520" w:lineRule="exact"/>
        <w:rPr>
          <w:rFonts w:ascii="宋体" w:hAnsi="宋体" w:cs="宋体"/>
          <w:w w:val="90"/>
          <w:sz w:val="24"/>
        </w:rPr>
      </w:pPr>
      <w:r>
        <w:rPr>
          <w:rFonts w:hint="eastAsia" w:ascii="宋体" w:hAnsi="宋体" w:cs="宋体"/>
          <w:w w:val="90"/>
          <w:sz w:val="24"/>
        </w:rPr>
        <w:t>日期：年　月　日</w:t>
      </w:r>
    </w:p>
    <w:p w14:paraId="49554AE9">
      <w:pPr>
        <w:spacing w:line="440" w:lineRule="exact"/>
        <w:rPr>
          <w:rFonts w:ascii="宋体" w:hAnsi="宋体" w:cs="宋体"/>
          <w:b/>
          <w:bCs/>
          <w:sz w:val="24"/>
        </w:rPr>
      </w:pPr>
    </w:p>
    <w:p w14:paraId="6827B731">
      <w:pPr>
        <w:spacing w:line="440" w:lineRule="exact"/>
        <w:rPr>
          <w:rFonts w:ascii="宋体" w:hAnsi="宋体" w:cs="宋体"/>
          <w:b/>
          <w:bCs/>
          <w:sz w:val="24"/>
        </w:rPr>
      </w:pPr>
    </w:p>
    <w:p w14:paraId="56ABB7E1">
      <w:pPr>
        <w:pStyle w:val="64"/>
        <w:spacing w:before="0" w:after="0"/>
        <w:ind w:firstLine="0" w:firstLineChars="0"/>
        <w:jc w:val="both"/>
        <w:rPr>
          <w:rFonts w:ascii="宋体" w:hAnsi="宋体" w:eastAsia="宋体" w:cs="宋体"/>
          <w:sz w:val="24"/>
          <w:szCs w:val="24"/>
        </w:rPr>
      </w:pPr>
    </w:p>
    <w:p w14:paraId="14BA0DDB">
      <w:pPr>
        <w:pStyle w:val="64"/>
        <w:spacing w:before="0" w:after="0"/>
        <w:ind w:firstLine="0" w:firstLineChars="0"/>
        <w:jc w:val="both"/>
        <w:rPr>
          <w:rFonts w:ascii="宋体" w:hAnsi="宋体" w:eastAsia="宋体" w:cs="宋体"/>
          <w:sz w:val="24"/>
          <w:szCs w:val="24"/>
        </w:rPr>
      </w:pPr>
    </w:p>
    <w:p w14:paraId="40B2393D">
      <w:pPr>
        <w:pStyle w:val="64"/>
        <w:spacing w:before="0" w:after="0"/>
        <w:ind w:firstLine="0" w:firstLineChars="0"/>
        <w:jc w:val="both"/>
        <w:rPr>
          <w:rFonts w:ascii="宋体" w:hAnsi="宋体" w:eastAsia="宋体" w:cs="宋体"/>
          <w:sz w:val="24"/>
          <w:szCs w:val="24"/>
        </w:rPr>
      </w:pPr>
    </w:p>
    <w:p w14:paraId="104AB939">
      <w:pPr>
        <w:pStyle w:val="64"/>
        <w:spacing w:before="0" w:after="0"/>
        <w:ind w:firstLine="0" w:firstLineChars="0"/>
        <w:jc w:val="both"/>
        <w:rPr>
          <w:rFonts w:ascii="宋体" w:hAnsi="宋体" w:eastAsia="宋体" w:cs="宋体"/>
          <w:sz w:val="24"/>
          <w:szCs w:val="24"/>
        </w:rPr>
      </w:pPr>
    </w:p>
    <w:p w14:paraId="1DB06DF1">
      <w:pPr>
        <w:pStyle w:val="64"/>
        <w:spacing w:before="0" w:after="0"/>
        <w:ind w:firstLine="0" w:firstLineChars="0"/>
        <w:jc w:val="both"/>
        <w:rPr>
          <w:rFonts w:ascii="宋体" w:hAnsi="宋体" w:eastAsia="宋体" w:cs="宋体"/>
          <w:sz w:val="24"/>
          <w:szCs w:val="24"/>
        </w:rPr>
      </w:pPr>
    </w:p>
    <w:p w14:paraId="14766CCD">
      <w:pPr>
        <w:pStyle w:val="19"/>
        <w:spacing w:line="440" w:lineRule="exact"/>
        <w:ind w:left="0" w:right="0"/>
        <w:jc w:val="both"/>
        <w:rPr>
          <w:rFonts w:ascii="宋体" w:hAnsi="宋体" w:cs="宋体"/>
          <w:b/>
          <w:bCs/>
          <w:szCs w:val="24"/>
        </w:rPr>
      </w:pPr>
    </w:p>
    <w:p w14:paraId="1E38BB6F">
      <w:pPr>
        <w:spacing w:line="440" w:lineRule="exact"/>
        <w:rPr>
          <w:rFonts w:ascii="宋体" w:hAnsi="宋体" w:cs="宋体"/>
          <w:b/>
          <w:bCs/>
          <w:sz w:val="24"/>
        </w:rPr>
      </w:pPr>
    </w:p>
    <w:p w14:paraId="017B4554">
      <w:pPr>
        <w:pStyle w:val="64"/>
        <w:spacing w:before="0" w:after="0"/>
        <w:ind w:firstLine="0" w:firstLineChars="0"/>
        <w:jc w:val="both"/>
        <w:rPr>
          <w:rFonts w:ascii="宋体" w:hAnsi="宋体" w:eastAsia="宋体" w:cs="宋体"/>
          <w:sz w:val="24"/>
          <w:szCs w:val="24"/>
        </w:rPr>
      </w:pPr>
    </w:p>
    <w:p w14:paraId="711F5D3D">
      <w:pPr>
        <w:pStyle w:val="64"/>
        <w:spacing w:before="0" w:after="0"/>
        <w:ind w:firstLine="0" w:firstLineChars="0"/>
        <w:jc w:val="both"/>
        <w:rPr>
          <w:rFonts w:ascii="宋体" w:hAnsi="宋体" w:eastAsia="宋体" w:cs="宋体"/>
          <w:sz w:val="24"/>
          <w:szCs w:val="24"/>
        </w:rPr>
      </w:pPr>
    </w:p>
    <w:p w14:paraId="5B48D011">
      <w:pPr>
        <w:pStyle w:val="64"/>
        <w:spacing w:before="0" w:after="0"/>
        <w:ind w:firstLine="0" w:firstLineChars="0"/>
        <w:jc w:val="both"/>
        <w:rPr>
          <w:rFonts w:ascii="宋体" w:hAnsi="宋体" w:eastAsia="宋体" w:cs="宋体"/>
          <w:sz w:val="24"/>
          <w:szCs w:val="24"/>
        </w:rPr>
      </w:pPr>
    </w:p>
    <w:p w14:paraId="1362F891">
      <w:pPr>
        <w:pStyle w:val="64"/>
        <w:spacing w:before="0" w:after="0"/>
        <w:ind w:firstLine="0" w:firstLineChars="0"/>
        <w:jc w:val="both"/>
        <w:rPr>
          <w:rFonts w:ascii="宋体" w:hAnsi="宋体" w:eastAsia="宋体" w:cs="宋体"/>
          <w:sz w:val="24"/>
          <w:szCs w:val="24"/>
        </w:rPr>
      </w:pPr>
    </w:p>
    <w:p w14:paraId="56E684BA">
      <w:pPr>
        <w:pStyle w:val="64"/>
        <w:spacing w:before="0" w:after="0"/>
        <w:ind w:firstLine="0" w:firstLineChars="0"/>
        <w:jc w:val="both"/>
        <w:rPr>
          <w:rFonts w:ascii="宋体" w:hAnsi="宋体" w:eastAsia="宋体" w:cs="宋体"/>
          <w:sz w:val="24"/>
          <w:szCs w:val="24"/>
        </w:rPr>
      </w:pPr>
    </w:p>
    <w:p w14:paraId="647EBA4C">
      <w:pPr>
        <w:pStyle w:val="64"/>
        <w:spacing w:before="0" w:after="0"/>
        <w:ind w:firstLine="0" w:firstLineChars="0"/>
        <w:jc w:val="both"/>
        <w:rPr>
          <w:rFonts w:ascii="宋体" w:hAnsi="宋体" w:eastAsia="宋体" w:cs="宋体"/>
          <w:sz w:val="24"/>
          <w:szCs w:val="24"/>
        </w:rPr>
      </w:pPr>
    </w:p>
    <w:p w14:paraId="6CBDD092">
      <w:pPr>
        <w:pStyle w:val="64"/>
        <w:spacing w:before="0" w:after="0"/>
        <w:ind w:firstLine="0" w:firstLineChars="0"/>
        <w:jc w:val="both"/>
        <w:rPr>
          <w:rFonts w:ascii="宋体" w:hAnsi="宋体" w:eastAsia="宋体" w:cs="宋体"/>
          <w:sz w:val="24"/>
          <w:szCs w:val="24"/>
        </w:rPr>
      </w:pPr>
    </w:p>
    <w:p w14:paraId="48F75E82">
      <w:pPr>
        <w:pStyle w:val="64"/>
        <w:spacing w:before="0" w:after="0"/>
        <w:ind w:firstLine="0" w:firstLineChars="0"/>
        <w:jc w:val="both"/>
        <w:rPr>
          <w:rFonts w:ascii="宋体" w:hAnsi="宋体" w:eastAsia="宋体" w:cs="宋体"/>
          <w:sz w:val="24"/>
          <w:szCs w:val="24"/>
        </w:rPr>
      </w:pPr>
    </w:p>
    <w:p w14:paraId="54F1899A">
      <w:pPr>
        <w:pStyle w:val="64"/>
        <w:spacing w:before="0" w:after="0"/>
        <w:ind w:firstLine="0" w:firstLineChars="0"/>
        <w:jc w:val="both"/>
        <w:rPr>
          <w:rFonts w:ascii="宋体" w:hAnsi="宋体" w:eastAsia="宋体" w:cs="宋体"/>
          <w:sz w:val="24"/>
          <w:szCs w:val="24"/>
        </w:rPr>
      </w:pPr>
    </w:p>
    <w:p w14:paraId="5138B3C2">
      <w:pPr>
        <w:pStyle w:val="64"/>
        <w:spacing w:before="0" w:after="0"/>
        <w:ind w:firstLine="0" w:firstLineChars="0"/>
        <w:jc w:val="both"/>
        <w:rPr>
          <w:rFonts w:ascii="宋体" w:hAnsi="宋体" w:eastAsia="宋体" w:cs="宋体"/>
          <w:sz w:val="24"/>
          <w:szCs w:val="24"/>
        </w:rPr>
      </w:pPr>
    </w:p>
    <w:p w14:paraId="0754F904">
      <w:pPr>
        <w:spacing w:line="440" w:lineRule="exact"/>
        <w:rPr>
          <w:rFonts w:ascii="宋体" w:hAnsi="宋体" w:cs="宋体"/>
          <w:b/>
          <w:bCs/>
          <w:sz w:val="24"/>
        </w:rPr>
      </w:pPr>
    </w:p>
    <w:p w14:paraId="61E1B244">
      <w:pPr>
        <w:spacing w:line="400" w:lineRule="exact"/>
        <w:rPr>
          <w:rFonts w:ascii="宋体" w:hAnsi="宋体" w:cs="宋体"/>
          <w:b/>
          <w:bCs/>
          <w:sz w:val="24"/>
        </w:rPr>
      </w:pPr>
    </w:p>
    <w:p w14:paraId="2A80D42A">
      <w:pPr>
        <w:pStyle w:val="64"/>
        <w:ind w:firstLine="480"/>
        <w:rPr>
          <w:rFonts w:ascii="宋体" w:hAnsi="宋体" w:eastAsia="宋体" w:cs="宋体"/>
          <w:sz w:val="24"/>
          <w:szCs w:val="24"/>
        </w:rPr>
      </w:pPr>
    </w:p>
    <w:p w14:paraId="2B581398">
      <w:pPr>
        <w:spacing w:line="400" w:lineRule="exact"/>
        <w:ind w:firstLine="472" w:firstLineChars="196"/>
        <w:rPr>
          <w:rFonts w:ascii="宋体" w:hAnsi="宋体" w:cs="宋体"/>
          <w:b/>
          <w:color w:val="000000"/>
          <w:sz w:val="24"/>
        </w:rPr>
      </w:pPr>
      <w:r>
        <w:rPr>
          <w:rFonts w:hint="eastAsia" w:ascii="宋体" w:hAnsi="宋体" w:cs="宋体"/>
          <w:b/>
          <w:bCs/>
          <w:sz w:val="24"/>
        </w:rPr>
        <w:t>六、投标供应商必须提交的资格证明文件（详见采购公告要求）</w:t>
      </w:r>
    </w:p>
    <w:p w14:paraId="6CF47ADE">
      <w:pPr>
        <w:spacing w:line="440" w:lineRule="exact"/>
        <w:jc w:val="center"/>
        <w:rPr>
          <w:rFonts w:ascii="宋体" w:hAnsi="宋体" w:cs="宋体"/>
          <w:b/>
          <w:bCs/>
          <w:sz w:val="24"/>
        </w:rPr>
      </w:pPr>
    </w:p>
    <w:p w14:paraId="7A1A8FE1">
      <w:pPr>
        <w:spacing w:line="440" w:lineRule="exact"/>
        <w:jc w:val="center"/>
        <w:rPr>
          <w:rFonts w:ascii="宋体" w:hAnsi="宋体" w:cs="宋体"/>
          <w:b/>
          <w:bCs/>
          <w:sz w:val="24"/>
        </w:rPr>
      </w:pPr>
    </w:p>
    <w:p w14:paraId="680EA70B">
      <w:pPr>
        <w:spacing w:line="440" w:lineRule="exact"/>
        <w:jc w:val="center"/>
        <w:rPr>
          <w:rFonts w:ascii="宋体" w:hAnsi="宋体" w:cs="宋体"/>
          <w:b/>
          <w:bCs/>
          <w:sz w:val="24"/>
        </w:rPr>
      </w:pPr>
    </w:p>
    <w:p w14:paraId="152B3807">
      <w:pPr>
        <w:spacing w:line="440" w:lineRule="exact"/>
        <w:jc w:val="center"/>
        <w:rPr>
          <w:rFonts w:ascii="宋体" w:hAnsi="宋体" w:cs="宋体"/>
          <w:b/>
          <w:bCs/>
          <w:sz w:val="24"/>
        </w:rPr>
      </w:pPr>
    </w:p>
    <w:p w14:paraId="36110EA7">
      <w:pPr>
        <w:spacing w:line="440" w:lineRule="exact"/>
        <w:jc w:val="center"/>
        <w:rPr>
          <w:rFonts w:ascii="宋体" w:hAnsi="宋体" w:cs="宋体"/>
          <w:b/>
          <w:bCs/>
          <w:sz w:val="24"/>
        </w:rPr>
      </w:pPr>
    </w:p>
    <w:p w14:paraId="476BF9A7">
      <w:pPr>
        <w:spacing w:line="440" w:lineRule="exact"/>
        <w:jc w:val="center"/>
        <w:rPr>
          <w:rFonts w:ascii="宋体" w:hAnsi="宋体" w:cs="宋体"/>
          <w:b/>
          <w:bCs/>
          <w:sz w:val="24"/>
        </w:rPr>
      </w:pPr>
    </w:p>
    <w:p w14:paraId="14556578">
      <w:pPr>
        <w:spacing w:line="440" w:lineRule="exact"/>
        <w:jc w:val="center"/>
        <w:rPr>
          <w:rFonts w:ascii="宋体" w:hAnsi="宋体" w:cs="宋体"/>
          <w:b/>
          <w:bCs/>
          <w:sz w:val="24"/>
        </w:rPr>
      </w:pPr>
      <w:r>
        <w:rPr>
          <w:rFonts w:hint="eastAsia" w:ascii="宋体" w:hAnsi="宋体" w:cs="宋体"/>
          <w:b/>
          <w:bCs/>
          <w:sz w:val="24"/>
        </w:rPr>
        <w:t>七、磋商供应商认为有必要提供并说明的其它资料</w:t>
      </w:r>
    </w:p>
    <w:p w14:paraId="2B22725B">
      <w:pPr>
        <w:widowControl/>
        <w:spacing w:line="440" w:lineRule="exact"/>
        <w:jc w:val="center"/>
        <w:rPr>
          <w:rFonts w:ascii="宋体" w:hAnsi="宋体" w:cs="宋体"/>
          <w:b/>
          <w:bCs/>
          <w:sz w:val="24"/>
        </w:rPr>
      </w:pPr>
      <w:r>
        <w:rPr>
          <w:rFonts w:hint="eastAsia" w:ascii="宋体" w:hAnsi="宋体" w:cs="宋体"/>
          <w:b/>
          <w:sz w:val="24"/>
        </w:rPr>
        <w:t>（格式由磋商供应商自定、加盖公章）</w:t>
      </w:r>
    </w:p>
    <w:p w14:paraId="6389C4A7">
      <w:pPr>
        <w:spacing w:line="440" w:lineRule="exact"/>
        <w:rPr>
          <w:rFonts w:ascii="宋体" w:hAnsi="宋体" w:cs="宋体"/>
          <w:b/>
          <w:bCs/>
          <w:sz w:val="24"/>
        </w:rPr>
      </w:pPr>
    </w:p>
    <w:p w14:paraId="374A3254">
      <w:pPr>
        <w:spacing w:line="440" w:lineRule="exact"/>
        <w:rPr>
          <w:rFonts w:ascii="宋体" w:hAnsi="宋体" w:cs="宋体"/>
          <w:b/>
          <w:bCs/>
          <w:sz w:val="24"/>
        </w:rPr>
      </w:pPr>
      <w:r>
        <w:rPr>
          <w:rFonts w:hint="eastAsia" w:ascii="宋体" w:hAnsi="宋体" w:cs="宋体"/>
          <w:b/>
          <w:bCs/>
          <w:sz w:val="24"/>
        </w:rPr>
        <w:t>友情提醒</w:t>
      </w:r>
    </w:p>
    <w:p w14:paraId="34799D6E">
      <w:pPr>
        <w:widowControl/>
        <w:spacing w:line="440" w:lineRule="exact"/>
        <w:ind w:firstLine="354" w:firstLineChars="147"/>
        <w:jc w:val="left"/>
        <w:rPr>
          <w:rFonts w:ascii="宋体" w:hAnsi="宋体" w:cs="宋体"/>
          <w:b/>
          <w:bCs/>
          <w:sz w:val="24"/>
        </w:rPr>
      </w:pPr>
      <w:r>
        <w:rPr>
          <w:rFonts w:hint="eastAsia" w:ascii="宋体" w:hAnsi="宋体" w:cs="宋体"/>
          <w:b/>
          <w:bCs/>
          <w:sz w:val="24"/>
        </w:rPr>
        <w:t>磋商供应商所提供的资格证明材料应真实、有效，淮安市公共资源交易中心盱眙分中心及采购人保留对磋商供应商提供的资格证明材料进行核查的权利。如发现磋商供应商提供虚假资格证明材料，采购人将对其进行严肃处理。</w:t>
      </w:r>
    </w:p>
    <w:p w14:paraId="3899416E">
      <w:pPr>
        <w:rPr>
          <w:rFonts w:ascii="宋体" w:hAnsi="宋体" w:cs="宋体"/>
          <w:sz w:val="24"/>
        </w:rPr>
      </w:pPr>
    </w:p>
    <w:p w14:paraId="6A6FE2D7">
      <w:pPr>
        <w:spacing w:line="440" w:lineRule="exact"/>
        <w:rPr>
          <w:rFonts w:ascii="宋体" w:hAnsi="宋体" w:cs="宋体"/>
          <w:b/>
          <w:sz w:val="24"/>
        </w:rPr>
      </w:pPr>
    </w:p>
    <w:p w14:paraId="615E2FB0">
      <w:pPr>
        <w:spacing w:line="440" w:lineRule="exact"/>
        <w:rPr>
          <w:rFonts w:ascii="宋体" w:hAnsi="宋体" w:cs="宋体"/>
          <w:b/>
          <w:sz w:val="24"/>
        </w:rPr>
      </w:pPr>
    </w:p>
    <w:p w14:paraId="75586E1E">
      <w:pPr>
        <w:spacing w:line="440" w:lineRule="exact"/>
        <w:rPr>
          <w:rFonts w:ascii="宋体" w:hAnsi="宋体" w:cs="宋体"/>
          <w:b/>
          <w:sz w:val="24"/>
        </w:rPr>
      </w:pPr>
    </w:p>
    <w:p w14:paraId="5C85666A">
      <w:pPr>
        <w:spacing w:line="440" w:lineRule="exact"/>
        <w:rPr>
          <w:rFonts w:ascii="宋体" w:hAnsi="宋体" w:cs="宋体"/>
          <w:b/>
          <w:sz w:val="24"/>
        </w:rPr>
      </w:pPr>
    </w:p>
    <w:p w14:paraId="04B6D18B">
      <w:pPr>
        <w:spacing w:line="440" w:lineRule="exact"/>
        <w:rPr>
          <w:rFonts w:ascii="宋体" w:hAnsi="宋体" w:cs="宋体"/>
          <w:b/>
          <w:sz w:val="24"/>
        </w:rPr>
      </w:pPr>
    </w:p>
    <w:p w14:paraId="74917D96">
      <w:pPr>
        <w:spacing w:line="440" w:lineRule="exact"/>
        <w:rPr>
          <w:rFonts w:ascii="宋体" w:hAnsi="宋体" w:cs="宋体"/>
          <w:b/>
          <w:sz w:val="24"/>
        </w:rPr>
      </w:pPr>
    </w:p>
    <w:p w14:paraId="0C8BD743">
      <w:pPr>
        <w:spacing w:line="440" w:lineRule="exact"/>
        <w:rPr>
          <w:rFonts w:ascii="宋体" w:hAnsi="宋体" w:cs="宋体"/>
          <w:b/>
          <w:sz w:val="24"/>
        </w:rPr>
      </w:pPr>
    </w:p>
    <w:p w14:paraId="6BCDCAE0">
      <w:pPr>
        <w:spacing w:line="440" w:lineRule="exact"/>
        <w:rPr>
          <w:rFonts w:ascii="宋体" w:hAnsi="宋体" w:cs="宋体"/>
          <w:b/>
          <w:sz w:val="24"/>
        </w:rPr>
      </w:pPr>
    </w:p>
    <w:p w14:paraId="50ECF3A7">
      <w:pPr>
        <w:spacing w:line="440" w:lineRule="exact"/>
        <w:rPr>
          <w:rFonts w:ascii="宋体" w:hAnsi="宋体" w:cs="宋体"/>
          <w:b/>
          <w:sz w:val="24"/>
        </w:rPr>
      </w:pPr>
    </w:p>
    <w:p w14:paraId="2D4C264F">
      <w:pPr>
        <w:spacing w:line="440" w:lineRule="exact"/>
        <w:rPr>
          <w:rFonts w:ascii="宋体" w:hAnsi="宋体" w:cs="宋体"/>
          <w:b/>
          <w:sz w:val="24"/>
        </w:rPr>
      </w:pPr>
    </w:p>
    <w:p w14:paraId="5D6679F7">
      <w:pPr>
        <w:spacing w:line="440" w:lineRule="exact"/>
        <w:rPr>
          <w:rFonts w:ascii="宋体" w:hAnsi="宋体" w:cs="宋体"/>
          <w:b/>
          <w:sz w:val="24"/>
        </w:rPr>
      </w:pPr>
    </w:p>
    <w:p w14:paraId="3F61EDB2">
      <w:pPr>
        <w:spacing w:line="440" w:lineRule="exact"/>
        <w:rPr>
          <w:rFonts w:ascii="宋体" w:hAnsi="宋体" w:cs="宋体"/>
          <w:b/>
          <w:bCs/>
          <w:sz w:val="24"/>
        </w:rPr>
      </w:pPr>
      <w:r>
        <w:rPr>
          <w:rFonts w:hint="eastAsia" w:ascii="宋体" w:hAnsi="宋体" w:cs="宋体"/>
          <w:b/>
          <w:sz w:val="24"/>
        </w:rPr>
        <w:br w:type="page"/>
      </w:r>
      <w:bookmarkEnd w:id="0"/>
      <w:bookmarkStart w:id="42" w:name="_Hlk38802875"/>
      <w:r>
        <w:rPr>
          <w:rFonts w:hint="eastAsia" w:ascii="宋体" w:hAnsi="宋体" w:cs="宋体"/>
          <w:b/>
          <w:sz w:val="24"/>
        </w:rPr>
        <w:t>示范格式一</w:t>
      </w:r>
    </w:p>
    <w:p w14:paraId="2AE88DE6">
      <w:pPr>
        <w:spacing w:line="640" w:lineRule="exact"/>
        <w:ind w:firstLine="3356" w:firstLineChars="1393"/>
        <w:rPr>
          <w:rFonts w:ascii="宋体" w:hAnsi="宋体" w:cs="宋体"/>
          <w:b/>
          <w:bCs/>
          <w:sz w:val="24"/>
        </w:rPr>
      </w:pPr>
      <w:r>
        <w:rPr>
          <w:rFonts w:hint="eastAsia" w:ascii="宋体" w:hAnsi="宋体" w:cs="宋体"/>
          <w:b/>
          <w:bCs/>
          <w:sz w:val="24"/>
        </w:rPr>
        <w:t>法定代表人资格证明</w:t>
      </w:r>
    </w:p>
    <w:p w14:paraId="369867ED">
      <w:pPr>
        <w:autoSpaceDE w:val="0"/>
        <w:autoSpaceDN w:val="0"/>
        <w:adjustRightInd w:val="0"/>
        <w:spacing w:line="640" w:lineRule="exact"/>
        <w:ind w:firstLine="280"/>
        <w:rPr>
          <w:rFonts w:ascii="宋体" w:hAnsi="宋体" w:cs="宋体"/>
          <w:sz w:val="24"/>
          <w:lang w:val="zh-CN"/>
        </w:rPr>
      </w:pPr>
      <w:r>
        <w:rPr>
          <w:rFonts w:hint="eastAsia" w:ascii="宋体" w:hAnsi="宋体" w:cs="宋体"/>
          <w:sz w:val="24"/>
          <w:lang w:val="zh-CN"/>
        </w:rPr>
        <w:t>单位名称：</w:t>
      </w:r>
    </w:p>
    <w:p w14:paraId="0FD7D1DB">
      <w:pPr>
        <w:autoSpaceDE w:val="0"/>
        <w:autoSpaceDN w:val="0"/>
        <w:adjustRightInd w:val="0"/>
        <w:spacing w:line="640" w:lineRule="exact"/>
        <w:ind w:firstLine="280"/>
        <w:rPr>
          <w:rFonts w:ascii="宋体" w:hAnsi="宋体" w:cs="宋体"/>
          <w:sz w:val="24"/>
          <w:lang w:val="zh-CN"/>
        </w:rPr>
      </w:pPr>
      <w:r>
        <w:rPr>
          <w:rFonts w:hint="eastAsia" w:ascii="宋体" w:hAnsi="宋体" w:cs="宋体"/>
          <w:sz w:val="24"/>
          <w:lang w:val="zh-CN"/>
        </w:rPr>
        <w:t>地址：</w:t>
      </w:r>
    </w:p>
    <w:p w14:paraId="659A8178">
      <w:pPr>
        <w:autoSpaceDE w:val="0"/>
        <w:autoSpaceDN w:val="0"/>
        <w:adjustRightInd w:val="0"/>
        <w:spacing w:line="640" w:lineRule="exact"/>
        <w:ind w:firstLine="280"/>
        <w:rPr>
          <w:rFonts w:ascii="宋体" w:hAnsi="宋体" w:cs="宋体"/>
          <w:sz w:val="24"/>
          <w:lang w:val="zh-CN"/>
        </w:rPr>
      </w:pPr>
      <w:r>
        <w:rPr>
          <w:rFonts w:hint="eastAsia" w:ascii="宋体" w:hAnsi="宋体" w:cs="宋体"/>
          <w:sz w:val="24"/>
          <w:lang w:val="zh-CN"/>
        </w:rPr>
        <w:t>姓名：性别：年龄：职务：</w:t>
      </w:r>
    </w:p>
    <w:p w14:paraId="7365BA4C">
      <w:pPr>
        <w:spacing w:line="640" w:lineRule="exact"/>
        <w:ind w:left="1" w:firstLine="480" w:firstLineChars="200"/>
        <w:rPr>
          <w:rFonts w:ascii="宋体" w:hAnsi="宋体" w:cs="宋体"/>
          <w:sz w:val="24"/>
        </w:rPr>
      </w:pPr>
      <w:r>
        <w:rPr>
          <w:rFonts w:hint="eastAsia" w:ascii="宋体" w:hAnsi="宋体" w:cs="宋体"/>
          <w:sz w:val="24"/>
          <w:lang w:val="zh-CN"/>
        </w:rPr>
        <w:t xml:space="preserve">系  </w:t>
      </w:r>
      <w:r>
        <w:rPr>
          <w:rFonts w:hint="eastAsia" w:ascii="宋体" w:hAnsi="宋体" w:cs="宋体"/>
          <w:sz w:val="24"/>
          <w:u w:val="single"/>
          <w:lang w:val="zh-CN"/>
        </w:rPr>
        <w:t>（磋商供应商名称）</w:t>
      </w:r>
      <w:r>
        <w:rPr>
          <w:rFonts w:hint="eastAsia" w:ascii="宋体" w:hAnsi="宋体" w:cs="宋体"/>
          <w:sz w:val="24"/>
          <w:lang w:val="zh-CN"/>
        </w:rPr>
        <w:t>的法定代表人。</w:t>
      </w:r>
      <w:r>
        <w:rPr>
          <w:rFonts w:hint="eastAsia" w:ascii="宋体" w:hAnsi="宋体" w:cs="宋体"/>
          <w:sz w:val="24"/>
        </w:rPr>
        <w:t>为参与项目，签署上述项目的响应文件、进行磋商、签署合同和处理与之有关的一切事务。</w:t>
      </w:r>
    </w:p>
    <w:p w14:paraId="20A8F06B">
      <w:pPr>
        <w:autoSpaceDE w:val="0"/>
        <w:autoSpaceDN w:val="0"/>
        <w:adjustRightInd w:val="0"/>
        <w:spacing w:line="640" w:lineRule="exact"/>
        <w:rPr>
          <w:rFonts w:ascii="宋体" w:hAnsi="宋体" w:cs="宋体"/>
          <w:sz w:val="24"/>
          <w:lang w:val="zh-CN"/>
        </w:rPr>
      </w:pPr>
    </w:p>
    <w:p w14:paraId="0C1C07A0">
      <w:pPr>
        <w:autoSpaceDE w:val="0"/>
        <w:autoSpaceDN w:val="0"/>
        <w:adjustRightInd w:val="0"/>
        <w:spacing w:line="640" w:lineRule="exact"/>
        <w:ind w:firstLine="280"/>
        <w:rPr>
          <w:rFonts w:ascii="宋体" w:hAnsi="宋体" w:cs="宋体"/>
          <w:sz w:val="24"/>
          <w:lang w:val="zh-CN"/>
        </w:rPr>
      </w:pPr>
      <w:r>
        <w:rPr>
          <w:rFonts w:hint="eastAsia" w:ascii="宋体" w:hAnsi="宋体" w:cs="宋体"/>
          <w:sz w:val="24"/>
          <w:lang w:val="zh-CN"/>
        </w:rPr>
        <w:t>特此证明。</w:t>
      </w:r>
    </w:p>
    <w:p w14:paraId="2A5D34EE">
      <w:pPr>
        <w:spacing w:line="640" w:lineRule="exact"/>
        <w:ind w:firstLine="4800" w:firstLineChars="2000"/>
        <w:rPr>
          <w:rFonts w:ascii="宋体" w:hAnsi="宋体" w:cs="宋体"/>
          <w:sz w:val="24"/>
        </w:rPr>
      </w:pPr>
    </w:p>
    <w:p w14:paraId="54C463F4">
      <w:pPr>
        <w:spacing w:line="640" w:lineRule="exact"/>
        <w:ind w:firstLine="4434" w:firstLineChars="2053"/>
        <w:rPr>
          <w:rFonts w:ascii="宋体" w:hAnsi="宋体" w:cs="宋体"/>
          <w:w w:val="90"/>
          <w:sz w:val="24"/>
        </w:rPr>
      </w:pPr>
      <w:r>
        <w:rPr>
          <w:rFonts w:hint="eastAsia" w:ascii="宋体" w:hAnsi="宋体" w:cs="宋体"/>
          <w:w w:val="90"/>
          <w:sz w:val="24"/>
        </w:rPr>
        <w:t>磋商供应商：</w:t>
      </w:r>
      <w:r>
        <w:rPr>
          <w:rFonts w:hint="eastAsia" w:ascii="宋体" w:hAnsi="宋体" w:cs="宋体"/>
          <w:w w:val="90"/>
          <w:sz w:val="24"/>
          <w:u w:val="single"/>
        </w:rPr>
        <w:t>（加盖公章）</w:t>
      </w:r>
    </w:p>
    <w:p w14:paraId="0D3B6B26">
      <w:pPr>
        <w:snapToGrid w:val="0"/>
        <w:spacing w:line="640" w:lineRule="exact"/>
        <w:ind w:firstLine="4560" w:firstLineChars="1900"/>
        <w:rPr>
          <w:rFonts w:ascii="宋体" w:hAnsi="宋体" w:cs="宋体"/>
          <w:sz w:val="24"/>
        </w:rPr>
      </w:pPr>
      <w:r>
        <w:rPr>
          <w:rFonts w:hint="eastAsia" w:ascii="宋体" w:hAnsi="宋体" w:cs="宋体"/>
          <w:sz w:val="24"/>
        </w:rPr>
        <w:t>年月日</w:t>
      </w:r>
    </w:p>
    <w:p w14:paraId="3B8A4CAC">
      <w:pPr>
        <w:snapToGrid w:val="0"/>
        <w:spacing w:line="640" w:lineRule="exact"/>
        <w:ind w:firstLine="4560" w:firstLineChars="1900"/>
        <w:rPr>
          <w:rFonts w:ascii="宋体" w:hAnsi="宋体" w:cs="宋体"/>
          <w:sz w:val="24"/>
        </w:rPr>
      </w:pPr>
    </w:p>
    <w:p w14:paraId="43AC4158">
      <w:pPr>
        <w:spacing w:line="640" w:lineRule="exact"/>
        <w:ind w:firstLine="2736" w:firstLineChars="1140"/>
        <w:rPr>
          <w:rFonts w:ascii="宋体" w:hAnsi="宋体" w:cs="宋体"/>
          <w:b/>
          <w:bCs/>
          <w:sz w:val="24"/>
        </w:rPr>
      </w:pPr>
      <w:r>
        <w:rPr>
          <w:rFonts w:hint="eastAsia" w:ascii="宋体" w:hAnsi="宋体" w:cs="宋体"/>
          <w:sz w:val="24"/>
        </w:rPr>
        <mc:AlternateContent>
          <mc:Choice Requires="wps">
            <w:drawing>
              <wp:anchor distT="0" distB="0" distL="114300" distR="114300" simplePos="0" relativeHeight="251659264" behindDoc="0" locked="0" layoutInCell="1" allowOverlap="1">
                <wp:simplePos x="0" y="0"/>
                <wp:positionH relativeFrom="column">
                  <wp:posOffset>1371600</wp:posOffset>
                </wp:positionH>
                <wp:positionV relativeFrom="paragraph">
                  <wp:posOffset>391160</wp:posOffset>
                </wp:positionV>
                <wp:extent cx="3314700" cy="1584960"/>
                <wp:effectExtent l="4445" t="4445" r="14605" b="10795"/>
                <wp:wrapNone/>
                <wp:docPr id="8" name="矩形 2"/>
                <wp:cNvGraphicFramePr/>
                <a:graphic xmlns:a="http://schemas.openxmlformats.org/drawingml/2006/main">
                  <a:graphicData uri="http://schemas.microsoft.com/office/word/2010/wordprocessingShape">
                    <wps:wsp>
                      <wps:cNvSpPr>
                        <a:spLocks noChangeArrowheads="1"/>
                      </wps:cNvSpPr>
                      <wps:spPr bwMode="auto">
                        <a:xfrm>
                          <a:off x="0" y="0"/>
                          <a:ext cx="3314700" cy="1584960"/>
                        </a:xfrm>
                        <a:prstGeom prst="rect">
                          <a:avLst/>
                        </a:prstGeom>
                        <a:solidFill>
                          <a:srgbClr val="FFFFFF"/>
                        </a:solidFill>
                        <a:ln w="9525">
                          <a:solidFill>
                            <a:srgbClr val="000000"/>
                          </a:solidFill>
                          <a:miter lim="800000"/>
                        </a:ln>
                        <a:effectLst/>
                      </wps:spPr>
                      <wps:txbx>
                        <w:txbxContent>
                          <w:p w14:paraId="62B6686C">
                            <w:pPr>
                              <w:jc w:val="center"/>
                            </w:pPr>
                          </w:p>
                          <w:p w14:paraId="0AD0D38D">
                            <w:pPr>
                              <w:jc w:val="center"/>
                            </w:pPr>
                          </w:p>
                          <w:p w14:paraId="0850734F">
                            <w:pPr>
                              <w:jc w:val="center"/>
                            </w:pPr>
                          </w:p>
                          <w:p w14:paraId="11646230">
                            <w:pPr>
                              <w:jc w:val="center"/>
                              <w:rPr>
                                <w:sz w:val="24"/>
                              </w:rPr>
                            </w:pPr>
                            <w:r>
                              <w:rPr>
                                <w:rFonts w:hint="eastAsia"/>
                                <w:sz w:val="24"/>
                              </w:rPr>
                              <w:t>身份证复印件</w:t>
                            </w:r>
                          </w:p>
                        </w:txbxContent>
                      </wps:txbx>
                      <wps:bodyPr rot="0" vert="horz" wrap="square" lIns="91440" tIns="45720" rIns="91440" bIns="45720" anchor="t" anchorCtr="0" upright="1">
                        <a:noAutofit/>
                      </wps:bodyPr>
                    </wps:wsp>
                  </a:graphicData>
                </a:graphic>
              </wp:anchor>
            </w:drawing>
          </mc:Choice>
          <mc:Fallback>
            <w:pict>
              <v:rect id="矩形 2" o:spid="_x0000_s1026" o:spt="1" style="position:absolute;left:0pt;margin-left:108pt;margin-top:30.8pt;height:124.8pt;width:261pt;z-index:251659264;mso-width-relative:page;mso-height-relative:page;" fillcolor="#FFFFFF" filled="t" stroked="t" coordsize="21600,21600" o:gfxdata="UEsDBAoAAAAAAIdO4kAAAAAAAAAAAAAAAAAEAAAAZHJzL1BLAwQUAAAACACHTuJAwK6bedgAAAAK&#10;AQAADwAAAGRycy9kb3ducmV2LnhtbE2PQU+EMBCF7yb+h2ZMvLmlkOCKlD1o1sTjLnvxNtAKKJ0S&#10;WnbRX+940uOb9/Lme+VudaM42zkMnjSoTQLCUuvNQJ2GU72/24IIEcng6Mlq+LIBdtX1VYmF8Rc6&#10;2PMxdoJLKBSooY9xKqQMbW8dho2fLLH37meHkeXcSTPjhcvdKNMkyaXDgfhDj5N96m37eVychmZI&#10;T/h9qF8S97DP4utafyxvz1rf3qjkEUS0a/wLwy8+o0PFTI1fyAQxakhVzluihlzlIDhwn2350GjI&#10;lEpBVqX8P6H6AVBLAwQUAAAACACHTuJAeoJTUz8CAACJBAAADgAAAGRycy9lMm9Eb2MueG1srVRB&#10;btswELwX6B8I3mtZjp3EguUgcJCiQNoGSPsAiqIsoiSXXdKW3c8U6K2P6HOKfqMrykmdtIccqoPA&#10;1S6HszNLLS521rCtwqDBlTwfjTlTTkKt3brkHz9cvzrnLEThamHAqZLvVeAXy5cvFp0v1ARaMLVC&#10;RiAuFJ0veRujL7IsyFZZEUbglaNkA2hFpBDXWY2iI3Rrssl4fJp1gLVHkCoE+no1JPkBEZ8DCE2j&#10;pboCubHKxQEVlRGRWgqt9oEvE9umUTK+b5qgIjMlp05jetMhtK76d7ZciGKNwrdaHiiI51B40pMV&#10;2tGhD1BXIgq2Qf0XlNUSIUATRxJsNjSSFKEu8vETbe5a4VXqhaQO/kH08P9g5bvtLTJdl5xsd8KS&#10;4b++fv/54xub9Np0PhRUcudvse8u+BuQnwJzsGqFW6tLROhaJWpilPf12aMNfRBoK6u6t1ATtNhE&#10;SDLtGrQ9IAnAdsmN/YMbaheZpI8nJ/n0bExGScrls/Pp/DT5lYnifrvHEF8rsKxflBzJ7gQvtjch&#10;9nREcV+S6IPR9bU2JgW4rlYG2VbQaFynJ3VAXR6XGce6ks9nk1lCfpQLxxDj9PwLwupIN8ZoSyIf&#10;FxnX81BpSg987xUblI+7ancwoYJ6T0IiDBNM95cWLeAXzjqa3pKHzxuBijPzxpEZ83w67cc9BdPZ&#10;2YQCPM5UxxnhJEGVPHI2LFdxuCIbj3rd0kl5at7BJRnY6CRtT3VgdbCdJjQpfrhN/RU4jlPVnz/I&#10;8j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Cw&#10;BAAAW0NvbnRlbnRfVHlwZXNdLnhtbFBLAQIUAAoAAAAAAIdO4kAAAAAAAAAAAAAAAAAGAAAAAAAA&#10;AAAAEAAAAJIDAABfcmVscy9QSwECFAAUAAAACACHTuJAihRmPNEAAACUAQAACwAAAAAAAAABACAA&#10;AAC2AwAAX3JlbHMvLnJlbHNQSwECFAAKAAAAAACHTuJAAAAAAAAAAAAAAAAABAAAAAAAAAAAABAA&#10;AAAAAAAAZHJzL1BLAQIUABQAAAAIAIdO4kDArpt52AAAAAoBAAAPAAAAAAAAAAEAIAAAACIAAABk&#10;cnMvZG93bnJldi54bWxQSwECFAAUAAAACACHTuJAeoJTUz8CAACJBAAADgAAAAAAAAABACAAAAAn&#10;AQAAZHJzL2Uyb0RvYy54bWxQSwUGAAAAAAYABgBZAQAA2AUAAAAA&#10;">
                <v:fill on="t" focussize="0,0"/>
                <v:stroke color="#000000" miterlimit="8" joinstyle="miter"/>
                <v:imagedata o:title=""/>
                <o:lock v:ext="edit" aspectratio="f"/>
                <v:textbox>
                  <w:txbxContent>
                    <w:p w14:paraId="62B6686C">
                      <w:pPr>
                        <w:jc w:val="center"/>
                      </w:pPr>
                    </w:p>
                    <w:p w14:paraId="0AD0D38D">
                      <w:pPr>
                        <w:jc w:val="center"/>
                      </w:pPr>
                    </w:p>
                    <w:p w14:paraId="0850734F">
                      <w:pPr>
                        <w:jc w:val="center"/>
                      </w:pPr>
                    </w:p>
                    <w:p w14:paraId="11646230">
                      <w:pPr>
                        <w:jc w:val="center"/>
                        <w:rPr>
                          <w:sz w:val="24"/>
                        </w:rPr>
                      </w:pPr>
                      <w:r>
                        <w:rPr>
                          <w:rFonts w:hint="eastAsia"/>
                          <w:sz w:val="24"/>
                        </w:rPr>
                        <w:t>身份证复印件</w:t>
                      </w:r>
                    </w:p>
                  </w:txbxContent>
                </v:textbox>
              </v:rect>
            </w:pict>
          </mc:Fallback>
        </mc:AlternateContent>
      </w:r>
    </w:p>
    <w:p w14:paraId="4253A529">
      <w:pPr>
        <w:spacing w:line="640" w:lineRule="exact"/>
        <w:ind w:firstLine="2747" w:firstLineChars="1140"/>
        <w:rPr>
          <w:rFonts w:ascii="宋体" w:hAnsi="宋体" w:cs="宋体"/>
          <w:b/>
          <w:bCs/>
          <w:sz w:val="24"/>
        </w:rPr>
      </w:pPr>
    </w:p>
    <w:p w14:paraId="1DF3E7B8">
      <w:pPr>
        <w:spacing w:line="640" w:lineRule="exact"/>
        <w:ind w:firstLine="2747" w:firstLineChars="1140"/>
        <w:rPr>
          <w:rFonts w:ascii="宋体" w:hAnsi="宋体" w:cs="宋体"/>
          <w:b/>
          <w:bCs/>
          <w:sz w:val="24"/>
        </w:rPr>
      </w:pPr>
    </w:p>
    <w:p w14:paraId="310D3ECF">
      <w:pPr>
        <w:spacing w:line="640" w:lineRule="exact"/>
        <w:ind w:firstLine="2747" w:firstLineChars="1140"/>
        <w:rPr>
          <w:rFonts w:ascii="宋体" w:hAnsi="宋体" w:cs="宋体"/>
          <w:b/>
          <w:bCs/>
          <w:sz w:val="24"/>
        </w:rPr>
      </w:pPr>
    </w:p>
    <w:p w14:paraId="642F512E">
      <w:pPr>
        <w:spacing w:line="640" w:lineRule="exact"/>
        <w:ind w:firstLine="2747" w:firstLineChars="1140"/>
        <w:rPr>
          <w:rFonts w:ascii="宋体" w:hAnsi="宋体" w:cs="宋体"/>
          <w:b/>
          <w:bCs/>
          <w:sz w:val="24"/>
        </w:rPr>
      </w:pPr>
    </w:p>
    <w:p w14:paraId="064A4494">
      <w:pPr>
        <w:spacing w:line="440" w:lineRule="exact"/>
        <w:ind w:firstLine="482" w:firstLineChars="200"/>
        <w:rPr>
          <w:rFonts w:ascii="宋体" w:hAnsi="宋体" w:cs="宋体"/>
          <w:b/>
          <w:bCs/>
          <w:sz w:val="24"/>
        </w:rPr>
      </w:pPr>
    </w:p>
    <w:p w14:paraId="6A35A6B3">
      <w:pPr>
        <w:spacing w:line="440" w:lineRule="exact"/>
        <w:ind w:firstLine="482" w:firstLineChars="200"/>
        <w:rPr>
          <w:rFonts w:ascii="宋体" w:hAnsi="宋体" w:cs="宋体"/>
          <w:b/>
          <w:sz w:val="24"/>
        </w:rPr>
      </w:pPr>
      <w:r>
        <w:rPr>
          <w:rFonts w:hint="eastAsia" w:ascii="宋体" w:hAnsi="宋体" w:cs="宋体"/>
          <w:b/>
          <w:bCs/>
          <w:sz w:val="24"/>
        </w:rPr>
        <w:t>注:磋商供应商法定代表人参加磋商的，必须附法定代表人身份证复印件并加盖委托单位公章。</w:t>
      </w:r>
      <w:r>
        <w:rPr>
          <w:rFonts w:hint="eastAsia" w:ascii="宋体" w:hAnsi="宋体" w:cs="宋体"/>
          <w:b/>
          <w:sz w:val="24"/>
        </w:rPr>
        <w:t>法定代表人授权其他人参加磋商的，仅需填写“授权委托书”。</w:t>
      </w:r>
    </w:p>
    <w:p w14:paraId="2748FF10">
      <w:pPr>
        <w:pStyle w:val="23"/>
        <w:rPr>
          <w:rFonts w:hAnsi="宋体" w:cs="宋体"/>
          <w:b/>
          <w:sz w:val="24"/>
          <w:szCs w:val="24"/>
        </w:rPr>
      </w:pPr>
    </w:p>
    <w:p w14:paraId="366DE114">
      <w:pPr>
        <w:pStyle w:val="23"/>
        <w:rPr>
          <w:rFonts w:hAnsi="宋体" w:cs="宋体"/>
          <w:b/>
          <w:sz w:val="24"/>
          <w:szCs w:val="24"/>
        </w:rPr>
      </w:pPr>
    </w:p>
    <w:p w14:paraId="3060950F">
      <w:pPr>
        <w:pStyle w:val="23"/>
        <w:rPr>
          <w:rFonts w:hAnsi="宋体" w:cs="宋体"/>
          <w:b/>
          <w:sz w:val="24"/>
          <w:szCs w:val="24"/>
        </w:rPr>
      </w:pPr>
    </w:p>
    <w:p w14:paraId="04431D4C">
      <w:pPr>
        <w:pStyle w:val="23"/>
        <w:rPr>
          <w:rFonts w:hAnsi="宋体" w:cs="宋体"/>
          <w:b/>
          <w:sz w:val="24"/>
          <w:szCs w:val="24"/>
        </w:rPr>
      </w:pPr>
    </w:p>
    <w:p w14:paraId="1DC78C9B">
      <w:pPr>
        <w:pStyle w:val="23"/>
        <w:rPr>
          <w:rFonts w:hAnsi="宋体" w:cs="宋体"/>
          <w:sz w:val="24"/>
          <w:szCs w:val="24"/>
          <w:u w:val="single"/>
        </w:rPr>
      </w:pPr>
      <w:r>
        <w:rPr>
          <w:rFonts w:hint="eastAsia" w:hAnsi="宋体" w:cs="宋体"/>
          <w:b/>
          <w:sz w:val="24"/>
          <w:szCs w:val="24"/>
        </w:rPr>
        <w:t>示范格式二</w:t>
      </w:r>
    </w:p>
    <w:p w14:paraId="0B69DF4B">
      <w:pPr>
        <w:spacing w:line="520" w:lineRule="exact"/>
        <w:ind w:firstLine="3959" w:firstLineChars="1643"/>
        <w:rPr>
          <w:rFonts w:ascii="宋体" w:hAnsi="宋体" w:cs="宋体"/>
          <w:b/>
          <w:bCs/>
          <w:sz w:val="24"/>
        </w:rPr>
      </w:pPr>
      <w:r>
        <w:rPr>
          <w:rFonts w:hint="eastAsia" w:ascii="宋体" w:hAnsi="宋体" w:cs="宋体"/>
          <w:b/>
          <w:bCs/>
          <w:sz w:val="24"/>
        </w:rPr>
        <w:t>授权委托书</w:t>
      </w:r>
    </w:p>
    <w:p w14:paraId="77A7F092">
      <w:pPr>
        <w:spacing w:line="440" w:lineRule="exact"/>
        <w:rPr>
          <w:rFonts w:ascii="宋体" w:hAnsi="宋体" w:cs="宋体"/>
          <w:b/>
          <w:bCs/>
          <w:sz w:val="24"/>
        </w:rPr>
      </w:pPr>
      <w:r>
        <w:rPr>
          <w:rFonts w:hint="eastAsia" w:ascii="宋体" w:hAnsi="宋体" w:cs="宋体"/>
          <w:b/>
          <w:bCs/>
          <w:sz w:val="24"/>
        </w:rPr>
        <w:t>致</w:t>
      </w:r>
      <w:r>
        <w:rPr>
          <w:rFonts w:hint="eastAsia" w:ascii="宋体" w:hAnsi="宋体" w:cs="宋体"/>
          <w:b/>
          <w:bCs/>
          <w:sz w:val="24"/>
          <w:u w:val="single"/>
        </w:rPr>
        <w:t>（采购单位）</w:t>
      </w:r>
      <w:r>
        <w:rPr>
          <w:rFonts w:hint="eastAsia" w:ascii="宋体" w:hAnsi="宋体" w:cs="宋体"/>
          <w:b/>
          <w:bCs/>
          <w:sz w:val="24"/>
        </w:rPr>
        <w:t>：</w:t>
      </w:r>
    </w:p>
    <w:p w14:paraId="00C51751">
      <w:pPr>
        <w:spacing w:line="440" w:lineRule="exact"/>
        <w:rPr>
          <w:rFonts w:ascii="宋体" w:hAnsi="宋体" w:cs="宋体"/>
          <w:sz w:val="24"/>
        </w:rPr>
      </w:pPr>
      <w:r>
        <w:rPr>
          <w:rFonts w:hint="eastAsia" w:ascii="宋体" w:hAnsi="宋体" w:cs="宋体"/>
          <w:sz w:val="24"/>
        </w:rPr>
        <w:t>本授权书宣告：</w:t>
      </w:r>
    </w:p>
    <w:p w14:paraId="241C1EB9">
      <w:pPr>
        <w:snapToGrid w:val="0"/>
        <w:spacing w:line="440" w:lineRule="exact"/>
        <w:rPr>
          <w:rFonts w:ascii="宋体" w:hAnsi="宋体" w:cs="宋体"/>
          <w:sz w:val="24"/>
        </w:rPr>
      </w:pPr>
      <w:r>
        <w:rPr>
          <w:rFonts w:hint="eastAsia" w:ascii="宋体" w:hAnsi="宋体" w:cs="宋体"/>
          <w:sz w:val="24"/>
        </w:rPr>
        <w:t>委托方：地址：</w:t>
      </w:r>
    </w:p>
    <w:p w14:paraId="65D35DB2">
      <w:pPr>
        <w:snapToGrid w:val="0"/>
        <w:spacing w:line="440" w:lineRule="exact"/>
        <w:rPr>
          <w:rFonts w:ascii="宋体" w:hAnsi="宋体" w:cs="宋体"/>
          <w:sz w:val="24"/>
          <w:u w:val="single"/>
        </w:rPr>
      </w:pPr>
      <w:r>
        <w:rPr>
          <w:rFonts w:hint="eastAsia" w:ascii="宋体" w:hAnsi="宋体" w:cs="宋体"/>
          <w:sz w:val="24"/>
        </w:rPr>
        <w:t>法定代表人：</w:t>
      </w:r>
    </w:p>
    <w:p w14:paraId="78BE6DBC">
      <w:pPr>
        <w:snapToGrid w:val="0"/>
        <w:spacing w:line="440" w:lineRule="exact"/>
        <w:rPr>
          <w:rFonts w:ascii="宋体" w:hAnsi="宋体" w:cs="宋体"/>
          <w:sz w:val="24"/>
        </w:rPr>
      </w:pPr>
      <w:r>
        <w:rPr>
          <w:rFonts w:hint="eastAsia" w:ascii="宋体" w:hAnsi="宋体" w:cs="宋体"/>
          <w:sz w:val="24"/>
        </w:rPr>
        <w:t>受托人：姓名性别：出生日期：年月日</w:t>
      </w:r>
    </w:p>
    <w:p w14:paraId="3C84B564">
      <w:pPr>
        <w:snapToGrid w:val="0"/>
        <w:spacing w:line="440" w:lineRule="exact"/>
        <w:rPr>
          <w:rFonts w:ascii="宋体" w:hAnsi="宋体" w:cs="宋体"/>
          <w:sz w:val="24"/>
        </w:rPr>
      </w:pPr>
      <w:r>
        <w:rPr>
          <w:rFonts w:hint="eastAsia" w:ascii="宋体" w:hAnsi="宋体" w:cs="宋体"/>
          <w:sz w:val="24"/>
        </w:rPr>
        <w:t>所在单位：职务：</w:t>
      </w:r>
    </w:p>
    <w:p w14:paraId="4A2F8CFA">
      <w:pPr>
        <w:snapToGrid w:val="0"/>
        <w:spacing w:line="440" w:lineRule="exact"/>
        <w:rPr>
          <w:rFonts w:ascii="宋体" w:hAnsi="宋体" w:cs="宋体"/>
          <w:sz w:val="24"/>
        </w:rPr>
      </w:pPr>
      <w:r>
        <w:rPr>
          <w:rFonts w:hint="eastAsia" w:ascii="宋体" w:hAnsi="宋体" w:cs="宋体"/>
          <w:sz w:val="24"/>
        </w:rPr>
        <w:t>身份证：联系方式：</w:t>
      </w:r>
    </w:p>
    <w:p w14:paraId="1D402FE2">
      <w:pPr>
        <w:snapToGrid w:val="0"/>
        <w:spacing w:line="440" w:lineRule="exact"/>
        <w:ind w:firstLine="480" w:firstLineChars="200"/>
        <w:rPr>
          <w:rFonts w:ascii="宋体" w:hAnsi="宋体" w:cs="宋体"/>
          <w:sz w:val="24"/>
        </w:rPr>
      </w:pPr>
      <w:r>
        <w:rPr>
          <w:rFonts w:hint="eastAsia" w:ascii="宋体" w:hAnsi="宋体" w:cs="宋体"/>
          <w:sz w:val="24"/>
        </w:rPr>
        <w:t>兹委托受托人代表我公司参加采购人的</w:t>
      </w:r>
      <w:r>
        <w:rPr>
          <w:rFonts w:hint="eastAsia" w:ascii="宋体" w:hAnsi="宋体" w:cs="宋体"/>
          <w:sz w:val="24"/>
          <w:u w:val="single"/>
        </w:rPr>
        <w:t xml:space="preserve">          </w:t>
      </w:r>
      <w:r>
        <w:rPr>
          <w:rFonts w:hint="eastAsia" w:ascii="宋体" w:hAnsi="宋体" w:cs="宋体"/>
          <w:sz w:val="24"/>
        </w:rPr>
        <w:t>（项目编号:    ）的采购活动，受托人有权在该磋商活动中，以我单位的名义签署磋商函和响应文件，与交易中心协商、澄清、解释，签订合同书并执行一切与此有关的事项。</w:t>
      </w:r>
    </w:p>
    <w:p w14:paraId="4279BB81">
      <w:pPr>
        <w:snapToGrid w:val="0"/>
        <w:spacing w:line="440" w:lineRule="exact"/>
        <w:ind w:firstLine="480" w:firstLineChars="200"/>
        <w:rPr>
          <w:rFonts w:ascii="宋体" w:hAnsi="宋体" w:cs="宋体"/>
          <w:sz w:val="24"/>
        </w:rPr>
      </w:pPr>
      <w:r>
        <w:rPr>
          <w:rFonts w:hint="eastAsia" w:ascii="宋体" w:hAnsi="宋体" w:cs="宋体"/>
          <w:sz w:val="24"/>
        </w:rPr>
        <w:t>受托人在办理上述事宜过程中以其自己的名义所签署的所有文件我公司均予以承认。受托人无转委托权。</w:t>
      </w:r>
    </w:p>
    <w:p w14:paraId="531B2BDD">
      <w:pPr>
        <w:snapToGrid w:val="0"/>
        <w:spacing w:line="440" w:lineRule="exact"/>
        <w:ind w:firstLine="480" w:firstLineChars="200"/>
        <w:rPr>
          <w:rFonts w:ascii="宋体" w:hAnsi="宋体" w:cs="宋体"/>
          <w:sz w:val="24"/>
        </w:rPr>
      </w:pPr>
      <w:r>
        <w:rPr>
          <w:rFonts w:hint="eastAsia" w:ascii="宋体" w:hAnsi="宋体" w:cs="宋体"/>
          <w:sz w:val="24"/>
        </w:rPr>
        <w:t>委托期限：至上述事宜处理完毕止。</w:t>
      </w:r>
    </w:p>
    <w:p w14:paraId="546E9B9E">
      <w:pPr>
        <w:snapToGrid w:val="0"/>
        <w:spacing w:line="520" w:lineRule="exact"/>
        <w:ind w:firstLine="4320" w:firstLineChars="1800"/>
        <w:rPr>
          <w:rFonts w:ascii="宋体" w:hAnsi="宋体" w:cs="宋体"/>
          <w:sz w:val="24"/>
          <w:u w:val="single"/>
        </w:rPr>
      </w:pPr>
      <w:r>
        <w:rPr>
          <w:rFonts w:hint="eastAsia" w:ascii="宋体" w:hAnsi="宋体" w:cs="宋体"/>
          <w:sz w:val="24"/>
        </w:rPr>
        <w:t>委托单位</w:t>
      </w:r>
      <w:r>
        <w:rPr>
          <w:rFonts w:hint="eastAsia" w:ascii="宋体" w:hAnsi="宋体" w:cs="宋体"/>
          <w:sz w:val="24"/>
          <w:u w:val="single"/>
        </w:rPr>
        <w:t>（公章）</w:t>
      </w:r>
    </w:p>
    <w:p w14:paraId="3254F08A">
      <w:pPr>
        <w:spacing w:line="520" w:lineRule="exact"/>
        <w:ind w:firstLine="4680" w:firstLineChars="1950"/>
        <w:rPr>
          <w:rFonts w:ascii="宋体" w:hAnsi="宋体" w:cs="宋体"/>
          <w:sz w:val="24"/>
        </w:rPr>
      </w:pPr>
      <w:r>
        <w:rPr>
          <w:rFonts w:hint="eastAsia" w:ascii="宋体" w:hAnsi="宋体" w:cs="宋体"/>
          <w:sz w:val="24"/>
        </w:rPr>
        <w:t>年月日</w:t>
      </w:r>
    </w:p>
    <w:p w14:paraId="7F9CA66F">
      <w:pPr>
        <w:spacing w:line="520" w:lineRule="exact"/>
        <w:ind w:firstLine="4680" w:firstLineChars="1950"/>
        <w:rPr>
          <w:rFonts w:ascii="宋体" w:hAnsi="宋体" w:cs="宋体"/>
          <w:b/>
          <w:bCs/>
          <w:sz w:val="24"/>
        </w:rPr>
      </w:pPr>
      <w:r>
        <w:rPr>
          <w:rFonts w:hint="eastAsia" w:ascii="宋体" w:hAnsi="宋体" w:cs="宋体"/>
          <w:sz w:val="24"/>
        </w:rPr>
        <mc:AlternateContent>
          <mc:Choice Requires="wps">
            <w:drawing>
              <wp:anchor distT="0" distB="0" distL="114300" distR="114300" simplePos="0" relativeHeight="251660288" behindDoc="0" locked="0" layoutInCell="1" allowOverlap="1">
                <wp:simplePos x="0" y="0"/>
                <wp:positionH relativeFrom="column">
                  <wp:posOffset>1143000</wp:posOffset>
                </wp:positionH>
                <wp:positionV relativeFrom="paragraph">
                  <wp:posOffset>314960</wp:posOffset>
                </wp:positionV>
                <wp:extent cx="3314700" cy="1684020"/>
                <wp:effectExtent l="4445" t="4445" r="14605" b="6985"/>
                <wp:wrapNone/>
                <wp:docPr id="7" name="矩形 1"/>
                <wp:cNvGraphicFramePr/>
                <a:graphic xmlns:a="http://schemas.openxmlformats.org/drawingml/2006/main">
                  <a:graphicData uri="http://schemas.microsoft.com/office/word/2010/wordprocessingShape">
                    <wps:wsp>
                      <wps:cNvSpPr>
                        <a:spLocks noChangeArrowheads="1"/>
                      </wps:cNvSpPr>
                      <wps:spPr bwMode="auto">
                        <a:xfrm>
                          <a:off x="0" y="0"/>
                          <a:ext cx="3314700" cy="1684020"/>
                        </a:xfrm>
                        <a:prstGeom prst="rect">
                          <a:avLst/>
                        </a:prstGeom>
                        <a:solidFill>
                          <a:srgbClr val="FFFFFF"/>
                        </a:solidFill>
                        <a:ln w="9525">
                          <a:solidFill>
                            <a:srgbClr val="000000"/>
                          </a:solidFill>
                          <a:miter lim="800000"/>
                        </a:ln>
                        <a:effectLst/>
                      </wps:spPr>
                      <wps:txbx>
                        <w:txbxContent>
                          <w:p w14:paraId="47896763">
                            <w:pPr>
                              <w:jc w:val="center"/>
                            </w:pPr>
                          </w:p>
                          <w:p w14:paraId="7D501781">
                            <w:pPr>
                              <w:jc w:val="center"/>
                            </w:pPr>
                          </w:p>
                          <w:p w14:paraId="04A2A834">
                            <w:pPr>
                              <w:jc w:val="center"/>
                            </w:pPr>
                          </w:p>
                          <w:p w14:paraId="6F1B7B93">
                            <w:pPr>
                              <w:jc w:val="center"/>
                              <w:rPr>
                                <w:sz w:val="24"/>
                              </w:rPr>
                            </w:pPr>
                            <w:r>
                              <w:rPr>
                                <w:rFonts w:hint="eastAsia"/>
                                <w:sz w:val="24"/>
                              </w:rPr>
                              <w:t>身份证复印件</w:t>
                            </w:r>
                          </w:p>
                          <w:p w14:paraId="0C60A872">
                            <w:pPr>
                              <w:jc w:val="center"/>
                            </w:pPr>
                          </w:p>
                        </w:txbxContent>
                      </wps:txbx>
                      <wps:bodyPr rot="0" vert="horz" wrap="square" lIns="91440" tIns="45720" rIns="91440" bIns="45720" anchor="t" anchorCtr="0" upright="1">
                        <a:noAutofit/>
                      </wps:bodyPr>
                    </wps:wsp>
                  </a:graphicData>
                </a:graphic>
              </wp:anchor>
            </w:drawing>
          </mc:Choice>
          <mc:Fallback>
            <w:pict>
              <v:rect id="矩形 1" o:spid="_x0000_s1026" o:spt="1" style="position:absolute;left:0pt;margin-left:90pt;margin-top:24.8pt;height:132.6pt;width:261pt;z-index:251660288;mso-width-relative:page;mso-height-relative:page;" fillcolor="#FFFFFF" filled="t" stroked="t" coordsize="21600,21600" o:gfxdata="UEsDBAoAAAAAAIdO4kAAAAAAAAAAAAAAAAAEAAAAZHJzL1BLAwQUAAAACACHTuJAHexAINgAAAAK&#10;AQAADwAAAGRycy9kb3ducmV2LnhtbE2PQU+DQBCF7038D5sx8dbuQptKkaUHTU08tvTibYAVUHaW&#10;sEuL/nrHkz2+Ny9vvpftZ9uLixl950hDtFIgDFWu7qjRcC4OywSED0g19o6Mhm/jYZ/fLTJMa3el&#10;o7mcQiO4hHyKGtoQhlRKX7XGol+5wRDfPtxoMbAcG1mPeOVy28tYqa202BF/aHEwz62pvk6T1VB2&#10;8Rl/jsWrsrvDOrzNxef0/qL1w32knkAEM4f/MPzhMzrkzFS6iWovetaJ4i1Bw2a3BcGBRxWzUWpY&#10;R5sEZJ7J2wn5L1BLAwQUAAAACACHTuJAoEeVnEACAACJBAAADgAAAGRycy9lMm9Eb2MueG1srVTB&#10;btQwEL0j8Q+W7zTJdttuo2arqlURUoFKhQ/wOs7GwvaYsXeT8jNI3PgIPgfxG0yc3ZIWDj2Qg+Xx&#10;jJ/fvJnJ2XlvDdsqDBpcxYuDnDPlJNTarSv+8cP1qwVnIQpXCwNOVfxeBX6+fPnirPOlmkELplbI&#10;CMSFsvMVb2P0ZZYF2SorwgF45cjZAFoRycR1VqPoCN2abJbnx1kHWHsEqUKg06vRyXeI+BxAaBot&#10;1RXIjVUujqiojIiUUmi1D3yZ2DaNkvF90wQVmak4ZRrTSo/QfjWs2fJMlGsUvtVyR0E8h8KTnKzQ&#10;jh59gLoSUbAN6r+grJYIAZp4IMFmYyJJEcqiyJ9oc9cKr1IuJHXwD6KH/wcr321vkem64iecOWGp&#10;4L++fv/54xsrBm06H0oKufO3OGQX/A3IT4E5uGyFW6sLROhaJWpilOKzRxcGI9BVtureQk3QYhMh&#10;ydQ3aAdAEoD1qRr3D9VQfWSSDg8Pi/lJToWS5CuOF/N8luqViXJ/3WOIrxVYNmwqjlTuBC+2NyES&#10;fQrdhyT6YHR9rY1JBq5XlwbZVlBrXKdvyJiuhGmYcayr+OnR7CghP/KFKUSevn9BWB1pYoy2FV9M&#10;g4wbeKjUpTu+e8VG5WO/6ndFWEF9T0IijB1M80ubFvALZx11b8XD541AxZl546gYp8V8PrR7MuZH&#10;J6Qcw6lnNfUIJwmq4pGzcXsZxxHZeNTrll4qUvIOLqiAjU7SDlRHViTaYFCHJvl20zSMwNROUX/+&#10;IMvf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sQQAAFtDb250ZW50X1R5cGVzXS54bWxQSwECFAAKAAAAAACHTuJAAAAAAAAAAAAAAAAABgAAAAAA&#10;AAAAABAAAACTAwAAX3JlbHMvUEsBAhQAFAAAAAgAh07iQIoUZjzRAAAAlAEAAAsAAAAAAAAAAQAg&#10;AAAAtwMAAF9yZWxzLy5yZWxzUEsBAhQACgAAAAAAh07iQAAAAAAAAAAAAAAAAAQAAAAAAAAAAAAQ&#10;AAAAAAAAAGRycy9QSwECFAAUAAAACACHTuJAHexAINgAAAAKAQAADwAAAAAAAAABACAAAAAiAAAA&#10;ZHJzL2Rvd25yZXYueG1sUEsBAhQAFAAAAAgAh07iQKBHlZxAAgAAiQQAAA4AAAAAAAAAAQAgAAAA&#10;JwEAAGRycy9lMm9Eb2MueG1sUEsFBgAAAAAGAAYAWQEAANkFAAAAAA==&#10;">
                <v:fill on="t" focussize="0,0"/>
                <v:stroke color="#000000" miterlimit="8" joinstyle="miter"/>
                <v:imagedata o:title=""/>
                <o:lock v:ext="edit" aspectratio="f"/>
                <v:textbox>
                  <w:txbxContent>
                    <w:p w14:paraId="47896763">
                      <w:pPr>
                        <w:jc w:val="center"/>
                      </w:pPr>
                    </w:p>
                    <w:p w14:paraId="7D501781">
                      <w:pPr>
                        <w:jc w:val="center"/>
                      </w:pPr>
                    </w:p>
                    <w:p w14:paraId="04A2A834">
                      <w:pPr>
                        <w:jc w:val="center"/>
                      </w:pPr>
                    </w:p>
                    <w:p w14:paraId="6F1B7B93">
                      <w:pPr>
                        <w:jc w:val="center"/>
                        <w:rPr>
                          <w:sz w:val="24"/>
                        </w:rPr>
                      </w:pPr>
                      <w:r>
                        <w:rPr>
                          <w:rFonts w:hint="eastAsia"/>
                          <w:sz w:val="24"/>
                        </w:rPr>
                        <w:t>身份证复印件</w:t>
                      </w:r>
                    </w:p>
                    <w:p w14:paraId="0C60A872">
                      <w:pPr>
                        <w:jc w:val="center"/>
                      </w:pPr>
                    </w:p>
                  </w:txbxContent>
                </v:textbox>
              </v:rect>
            </w:pict>
          </mc:Fallback>
        </mc:AlternateContent>
      </w:r>
    </w:p>
    <w:p w14:paraId="37A9FB64">
      <w:pPr>
        <w:spacing w:line="520" w:lineRule="exact"/>
        <w:ind w:firstLine="4698" w:firstLineChars="1950"/>
        <w:rPr>
          <w:rFonts w:ascii="宋体" w:hAnsi="宋体" w:cs="宋体"/>
          <w:b/>
          <w:bCs/>
          <w:sz w:val="24"/>
        </w:rPr>
      </w:pPr>
    </w:p>
    <w:p w14:paraId="0F1E09F7">
      <w:pPr>
        <w:spacing w:line="520" w:lineRule="exact"/>
        <w:ind w:firstLine="4698" w:firstLineChars="1950"/>
        <w:rPr>
          <w:rFonts w:ascii="宋体" w:hAnsi="宋体" w:cs="宋体"/>
          <w:b/>
          <w:bCs/>
          <w:sz w:val="24"/>
        </w:rPr>
      </w:pPr>
    </w:p>
    <w:p w14:paraId="0E710C05">
      <w:pPr>
        <w:spacing w:line="520" w:lineRule="exact"/>
        <w:ind w:firstLine="4698" w:firstLineChars="1950"/>
        <w:rPr>
          <w:rFonts w:ascii="宋体" w:hAnsi="宋体" w:cs="宋体"/>
          <w:b/>
          <w:bCs/>
          <w:sz w:val="24"/>
        </w:rPr>
      </w:pPr>
    </w:p>
    <w:p w14:paraId="21E6D3A4">
      <w:pPr>
        <w:spacing w:line="520" w:lineRule="exact"/>
        <w:ind w:firstLine="4698" w:firstLineChars="1950"/>
        <w:rPr>
          <w:rFonts w:ascii="宋体" w:hAnsi="宋体" w:cs="宋体"/>
          <w:b/>
          <w:bCs/>
          <w:sz w:val="24"/>
        </w:rPr>
      </w:pPr>
    </w:p>
    <w:p w14:paraId="2F51FA6B">
      <w:pPr>
        <w:spacing w:line="520" w:lineRule="exact"/>
        <w:ind w:firstLine="4698" w:firstLineChars="1950"/>
        <w:rPr>
          <w:rFonts w:ascii="宋体" w:hAnsi="宋体" w:cs="宋体"/>
          <w:b/>
          <w:bCs/>
          <w:sz w:val="24"/>
        </w:rPr>
      </w:pPr>
    </w:p>
    <w:p w14:paraId="7700AB6A">
      <w:pPr>
        <w:snapToGrid w:val="0"/>
        <w:spacing w:line="520" w:lineRule="exact"/>
        <w:ind w:left="-17" w:leftChars="-8" w:firstLine="564" w:firstLineChars="234"/>
        <w:rPr>
          <w:rFonts w:ascii="宋体" w:hAnsi="宋体" w:cs="宋体"/>
          <w:b/>
          <w:sz w:val="24"/>
        </w:rPr>
      </w:pPr>
      <w:r>
        <w:rPr>
          <w:rFonts w:hint="eastAsia" w:ascii="宋体" w:hAnsi="宋体" w:cs="宋体"/>
          <w:b/>
          <w:bCs/>
          <w:sz w:val="24"/>
        </w:rPr>
        <w:t>注:磋商供应商委托受托人参加磋商的，必须附受托人身份证复印件并加盖委托单位公章 。</w:t>
      </w:r>
      <w:r>
        <w:rPr>
          <w:rFonts w:hint="eastAsia" w:ascii="宋体" w:hAnsi="宋体" w:cs="宋体"/>
          <w:b/>
          <w:sz w:val="24"/>
        </w:rPr>
        <w:t>法定代表人直接参加磋商的，仅需填写“法定代表人资格证明”。</w:t>
      </w:r>
    </w:p>
    <w:bookmarkEnd w:id="42"/>
    <w:p w14:paraId="6FBD0BD3">
      <w:pPr>
        <w:pStyle w:val="23"/>
        <w:ind w:firstLine="562"/>
        <w:rPr>
          <w:rFonts w:hAnsi="宋体" w:cs="宋体"/>
          <w:color w:val="000000"/>
          <w:sz w:val="24"/>
          <w:szCs w:val="24"/>
        </w:rPr>
      </w:pPr>
      <w:r>
        <w:rPr>
          <w:rFonts w:hint="eastAsia" w:hAnsi="宋体" w:cs="宋体"/>
          <w:b/>
          <w:sz w:val="24"/>
          <w:szCs w:val="24"/>
        </w:rPr>
        <w:br w:type="page"/>
      </w:r>
      <w:r>
        <w:rPr>
          <w:rFonts w:hint="eastAsia" w:hAnsi="宋体" w:cs="宋体"/>
          <w:color w:val="000000"/>
          <w:sz w:val="24"/>
          <w:szCs w:val="24"/>
        </w:rPr>
        <w:t>示范格式三</w:t>
      </w:r>
    </w:p>
    <w:p w14:paraId="427B837B">
      <w:pPr>
        <w:pStyle w:val="23"/>
        <w:jc w:val="center"/>
        <w:rPr>
          <w:rFonts w:hAnsi="宋体" w:cs="宋体"/>
          <w:color w:val="000000"/>
          <w:sz w:val="24"/>
          <w:szCs w:val="24"/>
        </w:rPr>
      </w:pPr>
      <w:r>
        <w:rPr>
          <w:rFonts w:hint="eastAsia" w:hAnsi="宋体" w:cs="宋体"/>
          <w:color w:val="000000"/>
          <w:sz w:val="24"/>
          <w:szCs w:val="24"/>
        </w:rPr>
        <w:t>承   诺  书</w:t>
      </w:r>
    </w:p>
    <w:p w14:paraId="176FD9D5">
      <w:pPr>
        <w:pStyle w:val="23"/>
        <w:spacing w:line="400" w:lineRule="exact"/>
        <w:rPr>
          <w:rFonts w:hAnsi="宋体" w:cs="宋体"/>
          <w:color w:val="000000"/>
          <w:sz w:val="24"/>
          <w:szCs w:val="24"/>
        </w:rPr>
      </w:pPr>
    </w:p>
    <w:p w14:paraId="3904732E">
      <w:pPr>
        <w:pStyle w:val="23"/>
        <w:spacing w:line="400" w:lineRule="exact"/>
        <w:rPr>
          <w:rFonts w:hAnsi="宋体" w:cs="宋体"/>
          <w:color w:val="000000"/>
          <w:sz w:val="24"/>
          <w:szCs w:val="24"/>
        </w:rPr>
      </w:pPr>
      <w:r>
        <w:rPr>
          <w:rFonts w:hint="eastAsia" w:hAnsi="宋体" w:cs="宋体"/>
          <w:color w:val="000000"/>
          <w:sz w:val="24"/>
          <w:szCs w:val="24"/>
        </w:rPr>
        <w:t xml:space="preserve"> </w:t>
      </w:r>
      <w:r>
        <w:rPr>
          <w:rFonts w:hint="eastAsia" w:hAnsi="宋体" w:cs="宋体"/>
          <w:color w:val="000000"/>
          <w:sz w:val="24"/>
          <w:szCs w:val="24"/>
          <w:u w:val="single"/>
        </w:rPr>
        <w:t xml:space="preserve">        （采购单位）      </w:t>
      </w:r>
      <w:r>
        <w:rPr>
          <w:rFonts w:hint="eastAsia" w:hAnsi="宋体" w:cs="宋体"/>
          <w:color w:val="000000"/>
          <w:sz w:val="24"/>
          <w:szCs w:val="24"/>
        </w:rPr>
        <w:t>：</w:t>
      </w:r>
    </w:p>
    <w:p w14:paraId="7AC38B64">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我公司在                      项目（编号：        ）投标过程中，作如下承诺：</w:t>
      </w:r>
    </w:p>
    <w:p w14:paraId="3AC779CF">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一、参加本次项目投标活动前3年内没有重大违法记录（被刑事处罚或者责令停产停业，吊销许可证或者执照，一万元（含）以上数额罚款等行政处罚，信用中国、政府采购网、其他市级以上信用平台等列有不良记录的）。</w:t>
      </w:r>
    </w:p>
    <w:p w14:paraId="1198C50E">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二、我公司与参加本次投标活动的其他单位不存在单位负责人为同一人的情况，也不存在控股、管理、两公司股东有夫妻关系等情况。</w:t>
      </w:r>
    </w:p>
    <w:p w14:paraId="2CCC6F2C">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三、我公司没有为本项目提供整体设计、规范编制或者项目管理、监理、检测等服务。</w:t>
      </w:r>
    </w:p>
    <w:p w14:paraId="39D1B098">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四、不得出现的其他情况：1.投标截止后撤回投标的；2.提供的有关资料、资格证明文件被确认是不真实的；3.被证实有串通（统一哄抬价格）、欺诈行为的；4.被证明有妨碍其他人公平竞争、损害采购单位或者其他投标人合法权益的；5.投标人代表被证明在评标期间与采购人代表、评委、监督人员、工作人员有私下接触的；6.中标人在规定期限内未能按照采购文件规定签订合同的；7.与其他投标人的投标文件由同一单位或者个人编制；8.与其他投标人的投标文件载明的项目管理成员或者联系人员为同一人;9.与其他投标人的投标文件异常一致或者投标报价呈规律性差异；10.与其他投标人的投标文件相互混装。</w:t>
      </w:r>
    </w:p>
    <w:p w14:paraId="3C70873E">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我公司主动承诺以上内容，如有违反，自愿接受任何处罚。</w:t>
      </w:r>
    </w:p>
    <w:p w14:paraId="44012F10">
      <w:pPr>
        <w:pStyle w:val="23"/>
        <w:spacing w:line="400" w:lineRule="exact"/>
        <w:ind w:left="4080" w:hanging="4080" w:hangingChars="1700"/>
        <w:rPr>
          <w:rFonts w:hAnsi="宋体" w:cs="宋体"/>
          <w:color w:val="000000"/>
          <w:sz w:val="24"/>
          <w:szCs w:val="24"/>
        </w:rPr>
      </w:pPr>
      <w:r>
        <w:rPr>
          <w:rFonts w:hint="eastAsia" w:hAnsi="宋体" w:cs="宋体"/>
          <w:color w:val="000000"/>
          <w:sz w:val="24"/>
          <w:szCs w:val="24"/>
        </w:rPr>
        <w:t xml:space="preserve">                                                                                   供应商（盖章）              </w:t>
      </w:r>
    </w:p>
    <w:p w14:paraId="7C7754F9">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 xml:space="preserve">        </w:t>
      </w:r>
    </w:p>
    <w:p w14:paraId="0903BE56">
      <w:pPr>
        <w:pStyle w:val="23"/>
        <w:spacing w:line="400" w:lineRule="exact"/>
        <w:ind w:firstLine="480" w:firstLineChars="200"/>
        <w:rPr>
          <w:rFonts w:hAnsi="宋体" w:cs="宋体"/>
          <w:color w:val="000000"/>
          <w:sz w:val="24"/>
          <w:szCs w:val="24"/>
        </w:rPr>
      </w:pPr>
      <w:r>
        <w:rPr>
          <w:rFonts w:hint="eastAsia" w:hAnsi="宋体" w:cs="宋体"/>
          <w:color w:val="000000"/>
          <w:sz w:val="24"/>
          <w:szCs w:val="24"/>
        </w:rPr>
        <w:t xml:space="preserve">                            日 期：  年   月   日</w:t>
      </w:r>
    </w:p>
    <w:p w14:paraId="6FA98FAE">
      <w:pPr>
        <w:pStyle w:val="23"/>
        <w:spacing w:line="400" w:lineRule="exact"/>
        <w:ind w:firstLine="480" w:firstLineChars="200"/>
        <w:rPr>
          <w:rFonts w:hAnsi="宋体" w:cs="宋体"/>
          <w:color w:val="000000"/>
          <w:sz w:val="24"/>
          <w:szCs w:val="24"/>
        </w:rPr>
      </w:pPr>
    </w:p>
    <w:p w14:paraId="56F9E704">
      <w:pPr>
        <w:pStyle w:val="17"/>
        <w:adjustRightInd w:val="0"/>
        <w:spacing w:line="360" w:lineRule="auto"/>
        <w:ind w:firstLine="420"/>
        <w:jc w:val="center"/>
        <w:rPr>
          <w:rFonts w:ascii="宋体" w:hAnsi="宋体" w:cs="宋体"/>
          <w:color w:val="000000"/>
          <w:sz w:val="24"/>
        </w:rPr>
      </w:pPr>
    </w:p>
    <w:p w14:paraId="4C20785E">
      <w:pPr>
        <w:pStyle w:val="17"/>
        <w:adjustRightInd w:val="0"/>
        <w:spacing w:line="360" w:lineRule="auto"/>
        <w:ind w:firstLine="420"/>
        <w:jc w:val="center"/>
        <w:rPr>
          <w:rFonts w:ascii="宋体" w:hAnsi="宋体" w:cs="宋体"/>
          <w:color w:val="000000"/>
          <w:sz w:val="24"/>
        </w:rPr>
      </w:pPr>
    </w:p>
    <w:p w14:paraId="14B687EA">
      <w:pPr>
        <w:pStyle w:val="17"/>
        <w:adjustRightInd w:val="0"/>
        <w:spacing w:line="360" w:lineRule="auto"/>
        <w:ind w:firstLine="420"/>
        <w:jc w:val="center"/>
        <w:rPr>
          <w:rFonts w:ascii="宋体" w:hAnsi="宋体" w:cs="宋体"/>
          <w:color w:val="000000"/>
          <w:sz w:val="24"/>
        </w:rPr>
      </w:pPr>
    </w:p>
    <w:p w14:paraId="3988E6B6">
      <w:pPr>
        <w:pStyle w:val="17"/>
        <w:adjustRightInd w:val="0"/>
        <w:spacing w:line="360" w:lineRule="auto"/>
        <w:ind w:firstLine="420"/>
        <w:jc w:val="center"/>
        <w:rPr>
          <w:rFonts w:ascii="宋体" w:hAnsi="宋体" w:cs="宋体"/>
          <w:color w:val="000000"/>
          <w:sz w:val="24"/>
        </w:rPr>
      </w:pPr>
    </w:p>
    <w:p w14:paraId="5407B1A0">
      <w:pPr>
        <w:pStyle w:val="17"/>
        <w:adjustRightInd w:val="0"/>
        <w:spacing w:line="360" w:lineRule="auto"/>
        <w:ind w:firstLine="420"/>
        <w:jc w:val="center"/>
        <w:rPr>
          <w:rFonts w:ascii="宋体" w:hAnsi="宋体" w:cs="宋体"/>
          <w:color w:val="000000"/>
          <w:sz w:val="24"/>
        </w:rPr>
      </w:pPr>
    </w:p>
    <w:p w14:paraId="46363B57">
      <w:pPr>
        <w:pStyle w:val="17"/>
        <w:adjustRightInd w:val="0"/>
        <w:spacing w:line="360" w:lineRule="auto"/>
        <w:ind w:firstLine="420"/>
        <w:jc w:val="center"/>
        <w:rPr>
          <w:rFonts w:ascii="宋体" w:hAnsi="宋体" w:cs="宋体"/>
          <w:color w:val="000000"/>
          <w:sz w:val="24"/>
        </w:rPr>
      </w:pPr>
    </w:p>
    <w:p w14:paraId="298F47E2">
      <w:pPr>
        <w:pStyle w:val="17"/>
        <w:adjustRightInd w:val="0"/>
        <w:spacing w:line="360" w:lineRule="auto"/>
        <w:ind w:firstLine="420"/>
        <w:jc w:val="center"/>
        <w:rPr>
          <w:rFonts w:ascii="宋体" w:hAnsi="宋体" w:cs="宋体"/>
          <w:color w:val="000000"/>
          <w:sz w:val="24"/>
        </w:rPr>
      </w:pPr>
      <w:r>
        <w:rPr>
          <w:rFonts w:hint="eastAsia" w:ascii="宋体" w:hAnsi="宋体" w:cs="宋体"/>
          <w:color w:val="000000"/>
          <w:sz w:val="24"/>
        </w:rPr>
        <w:t>供应商信用承诺书</w:t>
      </w:r>
    </w:p>
    <w:p w14:paraId="78C56351">
      <w:pPr>
        <w:pStyle w:val="17"/>
        <w:adjustRightInd w:val="0"/>
        <w:spacing w:line="360" w:lineRule="auto"/>
        <w:ind w:left="113"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为营造公平竞争、规范有序的采购营商环境，树立诚信守法经营者形象，本单位郑重作出如下承诺，如有违背，违诺信息记入信用档案并依法予以公示，依法赔偿采购单位因本单位违背承诺造成的经济损失。</w:t>
      </w:r>
    </w:p>
    <w:p w14:paraId="47801FCC">
      <w:pPr>
        <w:pStyle w:val="17"/>
        <w:numPr>
          <w:ilvl w:val="0"/>
          <w:numId w:val="8"/>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我方本次采购活动中申报的所有资料都是真实、准确、有效，如发现提供虚假资料，或与事实不符而导致投标无效，甚至造成任何法律和经济责任，完全由我方负责。</w:t>
      </w:r>
    </w:p>
    <w:p w14:paraId="1950BB3D">
      <w:pPr>
        <w:pStyle w:val="17"/>
        <w:numPr>
          <w:ilvl w:val="0"/>
          <w:numId w:val="8"/>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我方在本次采购活动中绝无资质挂靠、串标、围标、中标后违法转包等情形，如有违反，我方自动放弃中标（成交）资格并承担相应的法律责任和后果。 </w:t>
      </w:r>
    </w:p>
    <w:p w14:paraId="492BDCBD">
      <w:pPr>
        <w:pStyle w:val="17"/>
        <w:numPr>
          <w:ilvl w:val="0"/>
          <w:numId w:val="8"/>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我方未被列入失信黑名单；无尚未修复的严重失信行为；在以往的政府采购活动中无重大违法、违规的不良记录，或虽有不良记录， 但已超过处理期限。 </w:t>
      </w:r>
    </w:p>
    <w:p w14:paraId="32C026BD">
      <w:pPr>
        <w:pStyle w:val="17"/>
        <w:numPr>
          <w:ilvl w:val="0"/>
          <w:numId w:val="8"/>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我方承诺中标（成交）后按规定的时间内领取中标（成交）确认书，按规定及时与采购单位签订合同。</w:t>
      </w:r>
    </w:p>
    <w:p w14:paraId="109ADF9A">
      <w:pPr>
        <w:pStyle w:val="17"/>
        <w:numPr>
          <w:ilvl w:val="0"/>
          <w:numId w:val="8"/>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我方严格按照采购公告、采购文件和响应文件承诺履行合同。</w:t>
      </w:r>
    </w:p>
    <w:p w14:paraId="2080E09A">
      <w:pPr>
        <w:pStyle w:val="17"/>
        <w:numPr>
          <w:ilvl w:val="0"/>
          <w:numId w:val="8"/>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我方自觉接受社会各界的监督，依法接受有关行政机关的事中事后监管和执法检查，并如实提供有关情况和材料。</w:t>
      </w:r>
    </w:p>
    <w:p w14:paraId="0B353CA1">
      <w:pPr>
        <w:pStyle w:val="17"/>
        <w:numPr>
          <w:ilvl w:val="0"/>
          <w:numId w:val="8"/>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严格遵守国家法律、法规、规章和相关政策规定，积极参与社会信用体系建设，倡树以信笃行，以诚兴业的传统美德，争创信用企业。 </w:t>
      </w:r>
    </w:p>
    <w:p w14:paraId="1463A74F">
      <w:pPr>
        <w:pStyle w:val="17"/>
        <w:numPr>
          <w:ilvl w:val="0"/>
          <w:numId w:val="8"/>
        </w:numPr>
        <w:autoSpaceDE w:val="0"/>
        <w:autoSpaceDN w:val="0"/>
        <w:adjustRightInd w:val="0"/>
        <w:spacing w:after="0" w:line="360" w:lineRule="auto"/>
        <w:ind w:left="150" w:firstLine="480"/>
        <w:jc w:val="lef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我方同意本《信用承诺书》记入信用档案。 </w:t>
      </w:r>
    </w:p>
    <w:p w14:paraId="4E164BBA">
      <w:pPr>
        <w:pStyle w:val="17"/>
        <w:adjustRightInd w:val="0"/>
        <w:spacing w:line="360" w:lineRule="auto"/>
        <w:ind w:left="113"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p>
    <w:p w14:paraId="48640A18">
      <w:pPr>
        <w:pStyle w:val="17"/>
        <w:adjustRightInd w:val="0"/>
        <w:spacing w:line="360" w:lineRule="auto"/>
        <w:ind w:left="113"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承诺单位名称：                           （盖章）</w:t>
      </w:r>
    </w:p>
    <w:p w14:paraId="40E4074C">
      <w:pPr>
        <w:pStyle w:val="17"/>
        <w:adjustRightInd w:val="0"/>
        <w:spacing w:line="360" w:lineRule="auto"/>
        <w:ind w:left="113" w:firstLine="480" w:firstLineChars="200"/>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w:t>
      </w:r>
    </w:p>
    <w:p w14:paraId="06F8BA84">
      <w:pPr>
        <w:pStyle w:val="17"/>
        <w:adjustRightInd w:val="0"/>
        <w:spacing w:line="360" w:lineRule="auto"/>
        <w:ind w:firstLine="5760" w:firstLineChars="2400"/>
        <w:rPr>
          <w:rFonts w:ascii="宋体" w:hAnsi="宋体" w:cs="宋体"/>
          <w:sz w:val="24"/>
        </w:rPr>
      </w:pPr>
      <w:r>
        <w:rPr>
          <w:rFonts w:hint="eastAsia" w:ascii="宋体" w:hAnsi="宋体" w:cs="宋体"/>
          <w:color w:val="000000" w:themeColor="text1"/>
          <w:sz w:val="24"/>
          <w14:textFill>
            <w14:solidFill>
              <w14:schemeClr w14:val="tx1"/>
            </w14:solidFill>
          </w14:textFill>
        </w:rPr>
        <w:t xml:space="preserve"> 日期：</w:t>
      </w:r>
    </w:p>
    <w:p w14:paraId="0F180D82">
      <w:pPr>
        <w:pStyle w:val="23"/>
        <w:ind w:firstLine="562"/>
        <w:rPr>
          <w:rFonts w:hAnsi="宋体" w:cs="宋体"/>
          <w:sz w:val="24"/>
          <w:szCs w:val="24"/>
        </w:rPr>
      </w:pPr>
    </w:p>
    <w:p w14:paraId="28CAE681">
      <w:pPr>
        <w:pStyle w:val="23"/>
        <w:ind w:firstLine="562"/>
        <w:rPr>
          <w:rFonts w:hAnsi="宋体" w:cs="宋体"/>
          <w:sz w:val="24"/>
          <w:szCs w:val="24"/>
        </w:rPr>
      </w:pPr>
    </w:p>
    <w:p w14:paraId="0AF9B823">
      <w:pPr>
        <w:pStyle w:val="23"/>
        <w:ind w:firstLine="562"/>
        <w:rPr>
          <w:rFonts w:hAnsi="宋体" w:cs="宋体"/>
          <w:sz w:val="24"/>
          <w:szCs w:val="24"/>
        </w:rPr>
      </w:pPr>
    </w:p>
    <w:p w14:paraId="2919BEF4">
      <w:pPr>
        <w:pStyle w:val="23"/>
        <w:ind w:firstLine="562"/>
        <w:rPr>
          <w:rFonts w:hAnsi="宋体" w:cs="宋体"/>
          <w:sz w:val="24"/>
          <w:szCs w:val="24"/>
        </w:rPr>
      </w:pPr>
    </w:p>
    <w:p w14:paraId="5BBF5EDF">
      <w:pPr>
        <w:pStyle w:val="23"/>
        <w:ind w:firstLine="562"/>
        <w:rPr>
          <w:rFonts w:hAnsi="宋体" w:cs="宋体"/>
          <w:sz w:val="24"/>
          <w:szCs w:val="24"/>
        </w:rPr>
      </w:pPr>
    </w:p>
    <w:p w14:paraId="57A76EBF">
      <w:pPr>
        <w:pStyle w:val="23"/>
        <w:ind w:firstLine="562"/>
        <w:rPr>
          <w:rFonts w:hAnsi="宋体" w:cs="宋体"/>
          <w:sz w:val="24"/>
          <w:szCs w:val="24"/>
        </w:rPr>
      </w:pPr>
    </w:p>
    <w:p w14:paraId="4D507824">
      <w:pPr>
        <w:pStyle w:val="23"/>
        <w:ind w:firstLine="562"/>
        <w:rPr>
          <w:rFonts w:hAnsi="宋体" w:cs="宋体"/>
          <w:sz w:val="24"/>
          <w:szCs w:val="24"/>
        </w:rPr>
      </w:pPr>
    </w:p>
    <w:p w14:paraId="231DE65B">
      <w:pPr>
        <w:pStyle w:val="23"/>
        <w:ind w:firstLine="562"/>
        <w:rPr>
          <w:rFonts w:hAnsi="宋体" w:cs="宋体"/>
          <w:b/>
          <w:bCs/>
          <w:sz w:val="24"/>
          <w:szCs w:val="24"/>
        </w:rPr>
      </w:pPr>
    </w:p>
    <w:p w14:paraId="4D1AEC67">
      <w:pPr>
        <w:pStyle w:val="23"/>
        <w:ind w:firstLine="562"/>
        <w:rPr>
          <w:rFonts w:hAnsi="宋体" w:cs="宋体"/>
          <w:b/>
          <w:bCs/>
          <w:sz w:val="24"/>
          <w:szCs w:val="24"/>
        </w:rPr>
      </w:pPr>
      <w:r>
        <w:rPr>
          <w:rFonts w:hint="eastAsia" w:hAnsi="宋体" w:cs="宋体"/>
          <w:b/>
          <w:bCs/>
          <w:sz w:val="24"/>
          <w:szCs w:val="24"/>
        </w:rPr>
        <w:t>示范格式四</w:t>
      </w:r>
    </w:p>
    <w:p w14:paraId="1CEBFFDD">
      <w:pPr>
        <w:spacing w:line="520" w:lineRule="exact"/>
        <w:jc w:val="center"/>
        <w:rPr>
          <w:rFonts w:ascii="宋体" w:hAnsi="宋体" w:cs="宋体"/>
          <w:b/>
          <w:bCs/>
          <w:sz w:val="24"/>
        </w:rPr>
      </w:pPr>
    </w:p>
    <w:p w14:paraId="24C38FF6">
      <w:pPr>
        <w:spacing w:line="520" w:lineRule="exact"/>
        <w:jc w:val="center"/>
        <w:rPr>
          <w:rFonts w:ascii="宋体" w:hAnsi="宋体" w:cs="宋体"/>
          <w:b/>
          <w:bCs/>
          <w:sz w:val="24"/>
        </w:rPr>
      </w:pPr>
      <w:r>
        <w:rPr>
          <w:rFonts w:hint="eastAsia" w:ascii="宋体" w:hAnsi="宋体" w:cs="宋体"/>
          <w:b/>
          <w:bCs/>
          <w:sz w:val="24"/>
        </w:rPr>
        <w:t>符合《政府采购法》第二十二条规定条件的声明函</w:t>
      </w:r>
    </w:p>
    <w:p w14:paraId="7D769F90">
      <w:pPr>
        <w:pStyle w:val="23"/>
        <w:spacing w:line="400" w:lineRule="exact"/>
        <w:rPr>
          <w:rFonts w:hAnsi="宋体" w:cs="宋体"/>
          <w:sz w:val="24"/>
          <w:szCs w:val="24"/>
        </w:rPr>
      </w:pPr>
    </w:p>
    <w:p w14:paraId="4AD4574A">
      <w:pPr>
        <w:pStyle w:val="23"/>
        <w:spacing w:line="480" w:lineRule="auto"/>
        <w:rPr>
          <w:rFonts w:hAnsi="宋体" w:cs="宋体"/>
          <w:sz w:val="24"/>
          <w:szCs w:val="24"/>
        </w:rPr>
      </w:pPr>
      <w:r>
        <w:rPr>
          <w:rFonts w:hint="eastAsia" w:hAnsi="宋体" w:cs="宋体"/>
          <w:sz w:val="24"/>
          <w:szCs w:val="24"/>
          <w:u w:val="single"/>
        </w:rPr>
        <w:t xml:space="preserve">        （采购单位） </w:t>
      </w:r>
      <w:r>
        <w:rPr>
          <w:rFonts w:hint="eastAsia" w:hAnsi="宋体" w:cs="宋体"/>
          <w:sz w:val="24"/>
          <w:szCs w:val="24"/>
        </w:rPr>
        <w:t>：</w:t>
      </w:r>
    </w:p>
    <w:p w14:paraId="4F259503">
      <w:pPr>
        <w:pStyle w:val="23"/>
        <w:spacing w:line="480" w:lineRule="auto"/>
        <w:ind w:firstLine="480" w:firstLineChars="200"/>
        <w:rPr>
          <w:rFonts w:hAnsi="宋体" w:cs="宋体"/>
          <w:sz w:val="24"/>
          <w:szCs w:val="24"/>
        </w:rPr>
      </w:pPr>
      <w:r>
        <w:rPr>
          <w:rFonts w:hint="eastAsia" w:hAnsi="宋体" w:cs="宋体"/>
          <w:sz w:val="24"/>
          <w:szCs w:val="24"/>
        </w:rPr>
        <w:t>我公司在项目（编号：）投标过程中，作如下承诺：</w:t>
      </w:r>
    </w:p>
    <w:p w14:paraId="6FD279D7">
      <w:pPr>
        <w:snapToGrid w:val="0"/>
        <w:spacing w:line="520" w:lineRule="exact"/>
        <w:ind w:firstLine="240" w:firstLineChars="100"/>
        <w:rPr>
          <w:rFonts w:ascii="宋体" w:hAnsi="宋体" w:cs="宋体"/>
          <w:sz w:val="24"/>
        </w:rPr>
      </w:pPr>
      <w:r>
        <w:rPr>
          <w:rFonts w:hint="eastAsia" w:ascii="宋体" w:hAnsi="宋体" w:cs="宋体"/>
          <w:sz w:val="24"/>
        </w:rPr>
        <w:t>1、我单位具有独立承担民事责任的能力；</w:t>
      </w:r>
    </w:p>
    <w:p w14:paraId="78992091">
      <w:pPr>
        <w:snapToGrid w:val="0"/>
        <w:spacing w:line="520" w:lineRule="exact"/>
        <w:ind w:firstLine="480" w:firstLineChars="200"/>
        <w:rPr>
          <w:rFonts w:ascii="宋体" w:hAnsi="宋体" w:cs="宋体"/>
          <w:sz w:val="24"/>
        </w:rPr>
      </w:pPr>
      <w:r>
        <w:rPr>
          <w:rFonts w:hint="eastAsia" w:ascii="宋体" w:hAnsi="宋体" w:cs="宋体"/>
          <w:sz w:val="24"/>
        </w:rPr>
        <w:t>2、我单位具有良好的商业信誉和健全的财务会计制度；</w:t>
      </w:r>
    </w:p>
    <w:p w14:paraId="2583576F">
      <w:pPr>
        <w:snapToGrid w:val="0"/>
        <w:spacing w:line="520" w:lineRule="exact"/>
        <w:ind w:firstLine="480" w:firstLineChars="200"/>
        <w:rPr>
          <w:rFonts w:ascii="宋体" w:hAnsi="宋体" w:cs="宋体"/>
          <w:sz w:val="24"/>
        </w:rPr>
      </w:pPr>
      <w:r>
        <w:rPr>
          <w:rFonts w:hint="eastAsia" w:ascii="宋体" w:hAnsi="宋体" w:cs="宋体"/>
          <w:sz w:val="24"/>
        </w:rPr>
        <w:t>3、我单位具有履行合同所必需的设备和专业技术能力；</w:t>
      </w:r>
    </w:p>
    <w:p w14:paraId="3ABE016F">
      <w:pPr>
        <w:snapToGrid w:val="0"/>
        <w:spacing w:line="520" w:lineRule="exact"/>
        <w:ind w:firstLine="480" w:firstLineChars="200"/>
        <w:rPr>
          <w:rFonts w:ascii="宋体" w:hAnsi="宋体" w:cs="宋体"/>
          <w:sz w:val="24"/>
        </w:rPr>
      </w:pPr>
      <w:r>
        <w:rPr>
          <w:rFonts w:hint="eastAsia" w:ascii="宋体" w:hAnsi="宋体" w:cs="宋体"/>
          <w:sz w:val="24"/>
        </w:rPr>
        <w:t>4、我单位有依法缴纳税收和社会保障资金的良好记录；</w:t>
      </w:r>
    </w:p>
    <w:p w14:paraId="2649DD70">
      <w:pPr>
        <w:autoSpaceDE w:val="0"/>
        <w:autoSpaceDN w:val="0"/>
        <w:adjustRightInd w:val="0"/>
        <w:spacing w:line="640" w:lineRule="exact"/>
        <w:ind w:firstLine="480" w:firstLineChars="200"/>
        <w:jc w:val="left"/>
        <w:rPr>
          <w:rFonts w:ascii="宋体" w:hAnsi="宋体" w:cs="宋体"/>
          <w:kern w:val="0"/>
          <w:sz w:val="24"/>
        </w:rPr>
      </w:pPr>
      <w:r>
        <w:rPr>
          <w:rFonts w:hint="eastAsia" w:ascii="宋体" w:hAnsi="宋体" w:cs="宋体"/>
          <w:sz w:val="24"/>
        </w:rPr>
        <w:t>5、</w:t>
      </w:r>
      <w:r>
        <w:rPr>
          <w:rFonts w:hint="eastAsia" w:ascii="宋体" w:hAnsi="宋体" w:cs="宋体"/>
          <w:kern w:val="0"/>
          <w:sz w:val="24"/>
        </w:rPr>
        <w:t>参加本次政府采购活动前三年内，我公司在经营活动中没有因违法经营受到刑事处罚或者责令停产停业、吊销许可证或者执照、较大数额罚款等行政处罚。</w:t>
      </w:r>
    </w:p>
    <w:p w14:paraId="7AC0CA8E">
      <w:pPr>
        <w:snapToGrid w:val="0"/>
        <w:spacing w:line="520" w:lineRule="exact"/>
        <w:ind w:firstLine="547" w:firstLineChars="228"/>
        <w:rPr>
          <w:rFonts w:ascii="宋体" w:hAnsi="宋体" w:cs="宋体"/>
          <w:sz w:val="24"/>
        </w:rPr>
      </w:pPr>
      <w:r>
        <w:rPr>
          <w:rFonts w:hint="eastAsia" w:ascii="宋体" w:hAnsi="宋体" w:cs="宋体"/>
          <w:sz w:val="24"/>
        </w:rPr>
        <w:t>6、我单位满足法律、行政法规规定的其他条件。</w:t>
      </w:r>
    </w:p>
    <w:p w14:paraId="5127A49E">
      <w:pPr>
        <w:pStyle w:val="23"/>
        <w:spacing w:line="480" w:lineRule="auto"/>
        <w:ind w:left="3960" w:hanging="3960" w:hangingChars="1650"/>
        <w:rPr>
          <w:rFonts w:hAnsi="宋体" w:cs="宋体"/>
          <w:sz w:val="24"/>
          <w:szCs w:val="24"/>
        </w:rPr>
      </w:pPr>
      <w:r>
        <w:rPr>
          <w:rFonts w:hint="eastAsia" w:hAnsi="宋体" w:cs="宋体"/>
          <w:sz w:val="24"/>
          <w:szCs w:val="24"/>
        </w:rPr>
        <w:t xml:space="preserve">                                                                                   供应商（盖章）  </w:t>
      </w:r>
    </w:p>
    <w:p w14:paraId="78E32520">
      <w:pPr>
        <w:pStyle w:val="23"/>
        <w:spacing w:line="400" w:lineRule="exact"/>
        <w:ind w:left="4080" w:hanging="4080" w:hangingChars="1700"/>
        <w:rPr>
          <w:rFonts w:hAnsi="宋体" w:cs="宋体"/>
          <w:sz w:val="24"/>
          <w:szCs w:val="24"/>
        </w:rPr>
      </w:pPr>
    </w:p>
    <w:p w14:paraId="3D1433C3">
      <w:pPr>
        <w:pStyle w:val="23"/>
        <w:spacing w:line="400" w:lineRule="exact"/>
        <w:ind w:firstLine="480" w:firstLineChars="200"/>
        <w:rPr>
          <w:rFonts w:hAnsi="宋体" w:cs="宋体"/>
          <w:sz w:val="24"/>
          <w:szCs w:val="24"/>
        </w:rPr>
      </w:pPr>
      <w:r>
        <w:rPr>
          <w:rFonts w:hint="eastAsia" w:hAnsi="宋体" w:cs="宋体"/>
          <w:sz w:val="24"/>
          <w:szCs w:val="24"/>
        </w:rPr>
        <w:t xml:space="preserve">                            日 期：  年   月   日</w:t>
      </w:r>
    </w:p>
    <w:p w14:paraId="4B12927C">
      <w:pPr>
        <w:pStyle w:val="23"/>
        <w:ind w:left="562" w:hanging="562"/>
        <w:rPr>
          <w:rFonts w:hAnsi="宋体" w:cs="宋体"/>
          <w:b/>
          <w:sz w:val="24"/>
          <w:szCs w:val="24"/>
        </w:rPr>
      </w:pPr>
    </w:p>
    <w:p w14:paraId="228A864D">
      <w:pPr>
        <w:pStyle w:val="23"/>
        <w:ind w:left="562" w:hanging="562"/>
        <w:rPr>
          <w:rFonts w:hAnsi="宋体" w:cs="宋体"/>
          <w:b/>
          <w:sz w:val="24"/>
          <w:szCs w:val="24"/>
        </w:rPr>
      </w:pPr>
    </w:p>
    <w:p w14:paraId="374EF6FD">
      <w:pPr>
        <w:pStyle w:val="23"/>
        <w:ind w:left="562" w:hanging="562"/>
        <w:rPr>
          <w:rFonts w:hAnsi="宋体" w:cs="宋体"/>
          <w:b/>
          <w:sz w:val="24"/>
          <w:szCs w:val="24"/>
        </w:rPr>
      </w:pPr>
    </w:p>
    <w:p w14:paraId="6B661888">
      <w:pPr>
        <w:pStyle w:val="23"/>
        <w:ind w:left="562" w:hanging="562"/>
        <w:rPr>
          <w:rFonts w:hAnsi="宋体" w:cs="宋体"/>
          <w:b/>
          <w:sz w:val="24"/>
          <w:szCs w:val="24"/>
        </w:rPr>
      </w:pPr>
    </w:p>
    <w:p w14:paraId="354C789C">
      <w:pPr>
        <w:pStyle w:val="23"/>
        <w:ind w:left="562" w:hanging="562"/>
        <w:rPr>
          <w:rFonts w:hAnsi="宋体" w:cs="宋体"/>
          <w:b/>
          <w:sz w:val="24"/>
          <w:szCs w:val="24"/>
        </w:rPr>
      </w:pPr>
    </w:p>
    <w:p w14:paraId="01657F27">
      <w:pPr>
        <w:pStyle w:val="23"/>
        <w:ind w:left="562" w:hanging="562"/>
        <w:rPr>
          <w:rFonts w:hAnsi="宋体" w:cs="宋体"/>
          <w:b/>
          <w:sz w:val="24"/>
          <w:szCs w:val="24"/>
        </w:rPr>
      </w:pPr>
    </w:p>
    <w:p w14:paraId="1DC8DB10">
      <w:pPr>
        <w:pStyle w:val="23"/>
        <w:ind w:left="562" w:hanging="562"/>
        <w:rPr>
          <w:rFonts w:hAnsi="宋体" w:cs="宋体"/>
          <w:b/>
          <w:sz w:val="24"/>
          <w:szCs w:val="24"/>
        </w:rPr>
      </w:pPr>
    </w:p>
    <w:p w14:paraId="0989D871">
      <w:pPr>
        <w:pStyle w:val="23"/>
        <w:ind w:left="562" w:hanging="562"/>
        <w:rPr>
          <w:rFonts w:hAnsi="宋体" w:cs="宋体"/>
          <w:b/>
          <w:sz w:val="24"/>
          <w:szCs w:val="24"/>
        </w:rPr>
      </w:pPr>
    </w:p>
    <w:p w14:paraId="6E6B9D7B">
      <w:pPr>
        <w:pStyle w:val="23"/>
        <w:ind w:left="562" w:hanging="562"/>
        <w:rPr>
          <w:rFonts w:hAnsi="宋体" w:cs="宋体"/>
          <w:b/>
          <w:sz w:val="24"/>
          <w:szCs w:val="24"/>
        </w:rPr>
      </w:pPr>
    </w:p>
    <w:p w14:paraId="5CEE3FFE">
      <w:pPr>
        <w:pStyle w:val="23"/>
        <w:ind w:left="562" w:hanging="562"/>
        <w:rPr>
          <w:rFonts w:hAnsi="宋体" w:cs="宋体"/>
          <w:b/>
          <w:sz w:val="24"/>
          <w:szCs w:val="24"/>
        </w:rPr>
      </w:pPr>
    </w:p>
    <w:p w14:paraId="2D5FE6B6">
      <w:pPr>
        <w:pStyle w:val="23"/>
        <w:ind w:left="562" w:hanging="562"/>
        <w:rPr>
          <w:rFonts w:hAnsi="宋体" w:cs="宋体"/>
          <w:b/>
          <w:sz w:val="24"/>
          <w:szCs w:val="24"/>
        </w:rPr>
      </w:pPr>
    </w:p>
    <w:p w14:paraId="0B081B35">
      <w:pPr>
        <w:pStyle w:val="23"/>
        <w:ind w:left="562" w:hanging="562"/>
        <w:rPr>
          <w:rFonts w:hAnsi="宋体" w:cs="宋体"/>
          <w:b/>
          <w:sz w:val="24"/>
          <w:szCs w:val="24"/>
        </w:rPr>
      </w:pPr>
    </w:p>
    <w:p w14:paraId="16212BCE">
      <w:pPr>
        <w:pStyle w:val="23"/>
        <w:ind w:left="562" w:hanging="562"/>
        <w:rPr>
          <w:rFonts w:hAnsi="宋体" w:cs="宋体"/>
          <w:b/>
          <w:sz w:val="24"/>
          <w:szCs w:val="24"/>
        </w:rPr>
      </w:pPr>
    </w:p>
    <w:p w14:paraId="46C80454">
      <w:pPr>
        <w:pStyle w:val="23"/>
        <w:ind w:left="562" w:hanging="562"/>
        <w:rPr>
          <w:rFonts w:hAnsi="宋体" w:cs="宋体"/>
          <w:b/>
          <w:sz w:val="24"/>
          <w:szCs w:val="24"/>
        </w:rPr>
      </w:pPr>
    </w:p>
    <w:p w14:paraId="30A969F1">
      <w:pPr>
        <w:jc w:val="center"/>
        <w:rPr>
          <w:rFonts w:ascii="宋体" w:hAnsi="宋体" w:cs="仿宋"/>
          <w:b/>
          <w:bCs/>
          <w:color w:val="000000"/>
          <w:sz w:val="32"/>
          <w:szCs w:val="32"/>
        </w:rPr>
      </w:pPr>
      <w:r>
        <w:rPr>
          <w:rFonts w:hint="eastAsia" w:ascii="宋体" w:hAnsi="宋体" w:cs="仿宋"/>
          <w:b/>
          <w:bCs/>
          <w:color w:val="000000"/>
          <w:sz w:val="32"/>
          <w:szCs w:val="32"/>
        </w:rPr>
        <w:t>质疑函范本</w:t>
      </w:r>
    </w:p>
    <w:p w14:paraId="30E77479">
      <w:pPr>
        <w:adjustRightInd w:val="0"/>
        <w:snapToGrid w:val="0"/>
        <w:spacing w:beforeLines="100" w:line="360" w:lineRule="auto"/>
        <w:rPr>
          <w:rFonts w:ascii="宋体" w:hAnsi="宋体" w:cs="仿宋"/>
          <w:bCs/>
          <w:color w:val="000000"/>
          <w:sz w:val="24"/>
          <w:szCs w:val="24"/>
        </w:rPr>
      </w:pPr>
      <w:r>
        <w:rPr>
          <w:rFonts w:hint="eastAsia" w:ascii="宋体" w:hAnsi="宋体" w:cs="仿宋"/>
          <w:bCs/>
          <w:color w:val="000000"/>
          <w:sz w:val="24"/>
          <w:szCs w:val="24"/>
        </w:rPr>
        <w:t>一、质疑供应商基本信息</w:t>
      </w:r>
    </w:p>
    <w:p w14:paraId="695E1B43">
      <w:pPr>
        <w:adjustRightInd w:val="0"/>
        <w:snapToGrid w:val="0"/>
        <w:spacing w:line="360" w:lineRule="auto"/>
        <w:rPr>
          <w:rFonts w:ascii="宋体" w:hAnsi="宋体" w:cs="仿宋"/>
          <w:color w:val="000000"/>
          <w:sz w:val="24"/>
          <w:szCs w:val="24"/>
          <w:u w:val="dotted"/>
        </w:rPr>
      </w:pPr>
      <w:r>
        <w:rPr>
          <w:rFonts w:hint="eastAsia" w:ascii="宋体" w:hAnsi="宋体" w:cs="仿宋"/>
          <w:color w:val="000000"/>
          <w:sz w:val="24"/>
          <w:szCs w:val="24"/>
        </w:rPr>
        <w:t>质疑供应商：</w:t>
      </w:r>
      <w:r>
        <w:rPr>
          <w:rFonts w:hint="eastAsia" w:ascii="宋体" w:hAnsi="宋体" w:cs="仿宋"/>
          <w:color w:val="000000"/>
          <w:sz w:val="24"/>
          <w:szCs w:val="24"/>
          <w:u w:val="dotted"/>
        </w:rPr>
        <w:t xml:space="preserve">                                                              </w:t>
      </w:r>
    </w:p>
    <w:p w14:paraId="78DE4D74">
      <w:pPr>
        <w:adjustRightInd w:val="0"/>
        <w:snapToGrid w:val="0"/>
        <w:spacing w:line="360" w:lineRule="auto"/>
        <w:rPr>
          <w:rFonts w:ascii="宋体" w:hAnsi="宋体" w:cs="仿宋"/>
          <w:color w:val="000000"/>
          <w:sz w:val="24"/>
          <w:szCs w:val="24"/>
        </w:rPr>
      </w:pPr>
      <w:r>
        <w:rPr>
          <w:rFonts w:hint="eastAsia" w:ascii="宋体" w:hAnsi="宋体" w:cs="仿宋"/>
          <w:color w:val="000000"/>
          <w:sz w:val="24"/>
          <w:szCs w:val="24"/>
        </w:rPr>
        <w:t>地址：</w:t>
      </w:r>
      <w:r>
        <w:rPr>
          <w:rFonts w:hint="eastAsia" w:ascii="宋体" w:hAnsi="宋体" w:cs="仿宋"/>
          <w:color w:val="000000"/>
          <w:sz w:val="24"/>
          <w:szCs w:val="24"/>
          <w:u w:val="dotted"/>
        </w:rPr>
        <w:t xml:space="preserve">                             </w:t>
      </w:r>
      <w:r>
        <w:rPr>
          <w:rFonts w:hint="eastAsia" w:ascii="宋体" w:hAnsi="宋体" w:cs="仿宋"/>
          <w:color w:val="000000"/>
          <w:sz w:val="24"/>
          <w:szCs w:val="24"/>
        </w:rPr>
        <w:t>邮编：</w:t>
      </w:r>
      <w:r>
        <w:rPr>
          <w:rFonts w:hint="eastAsia" w:ascii="宋体" w:hAnsi="宋体" w:cs="仿宋"/>
          <w:color w:val="000000"/>
          <w:sz w:val="24"/>
          <w:szCs w:val="24"/>
          <w:u w:val="dotted"/>
        </w:rPr>
        <w:t xml:space="preserve">                                    </w:t>
      </w:r>
    </w:p>
    <w:p w14:paraId="201F14F3">
      <w:pPr>
        <w:adjustRightInd w:val="0"/>
        <w:snapToGrid w:val="0"/>
        <w:spacing w:line="360" w:lineRule="auto"/>
        <w:rPr>
          <w:rFonts w:ascii="宋体" w:hAnsi="宋体" w:cs="仿宋"/>
          <w:color w:val="000000"/>
          <w:sz w:val="24"/>
          <w:szCs w:val="24"/>
        </w:rPr>
      </w:pPr>
      <w:r>
        <w:rPr>
          <w:rFonts w:hint="eastAsia" w:ascii="宋体" w:hAnsi="宋体" w:cs="仿宋"/>
          <w:color w:val="000000"/>
          <w:sz w:val="24"/>
          <w:szCs w:val="24"/>
        </w:rPr>
        <w:t>联系人：</w:t>
      </w:r>
      <w:r>
        <w:rPr>
          <w:rFonts w:hint="eastAsia" w:ascii="宋体" w:hAnsi="宋体" w:cs="仿宋"/>
          <w:color w:val="000000"/>
          <w:sz w:val="24"/>
          <w:szCs w:val="24"/>
          <w:u w:val="dotted"/>
        </w:rPr>
        <w:t xml:space="preserve">                      </w:t>
      </w:r>
      <w:r>
        <w:rPr>
          <w:rFonts w:hint="eastAsia" w:ascii="宋体" w:hAnsi="宋体" w:cs="仿宋"/>
          <w:color w:val="000000"/>
          <w:sz w:val="24"/>
          <w:szCs w:val="24"/>
        </w:rPr>
        <w:t>联系电话：</w:t>
      </w:r>
      <w:r>
        <w:rPr>
          <w:rFonts w:hint="eastAsia" w:ascii="宋体" w:hAnsi="宋体" w:cs="仿宋"/>
          <w:color w:val="000000"/>
          <w:sz w:val="24"/>
          <w:szCs w:val="24"/>
          <w:u w:val="dotted"/>
        </w:rPr>
        <w:t xml:space="preserve">                                       </w:t>
      </w:r>
    </w:p>
    <w:p w14:paraId="788770A0">
      <w:pPr>
        <w:adjustRightInd w:val="0"/>
        <w:snapToGrid w:val="0"/>
        <w:spacing w:line="360" w:lineRule="auto"/>
        <w:rPr>
          <w:rFonts w:ascii="宋体" w:hAnsi="宋体" w:cs="仿宋"/>
          <w:color w:val="000000"/>
          <w:sz w:val="24"/>
          <w:szCs w:val="24"/>
          <w:u w:val="dotted"/>
        </w:rPr>
      </w:pPr>
      <w:r>
        <w:rPr>
          <w:rFonts w:hint="eastAsia" w:ascii="宋体" w:hAnsi="宋体" w:cs="仿宋"/>
          <w:color w:val="000000"/>
          <w:sz w:val="24"/>
          <w:szCs w:val="24"/>
        </w:rPr>
        <w:t>授权代表：</w:t>
      </w:r>
      <w:r>
        <w:rPr>
          <w:rFonts w:hint="eastAsia" w:ascii="宋体" w:hAnsi="宋体" w:cs="仿宋"/>
          <w:color w:val="000000"/>
          <w:sz w:val="24"/>
          <w:szCs w:val="24"/>
          <w:u w:val="dotted"/>
        </w:rPr>
        <w:t xml:space="preserve">                                                                 </w:t>
      </w:r>
    </w:p>
    <w:p w14:paraId="5D861B6B">
      <w:pPr>
        <w:adjustRightInd w:val="0"/>
        <w:snapToGrid w:val="0"/>
        <w:spacing w:line="360" w:lineRule="auto"/>
        <w:rPr>
          <w:rFonts w:ascii="宋体" w:hAnsi="宋体" w:cs="仿宋"/>
          <w:color w:val="000000"/>
          <w:sz w:val="24"/>
          <w:szCs w:val="24"/>
        </w:rPr>
      </w:pPr>
      <w:r>
        <w:rPr>
          <w:rFonts w:hint="eastAsia" w:ascii="宋体" w:hAnsi="宋体" w:cs="仿宋"/>
          <w:color w:val="000000"/>
          <w:sz w:val="24"/>
          <w:szCs w:val="24"/>
        </w:rPr>
        <w:t>联系电话：</w:t>
      </w:r>
      <w:r>
        <w:rPr>
          <w:rFonts w:hint="eastAsia" w:ascii="宋体" w:hAnsi="宋体" w:cs="仿宋"/>
          <w:color w:val="000000"/>
          <w:sz w:val="24"/>
          <w:szCs w:val="24"/>
          <w:u w:val="dotted"/>
        </w:rPr>
        <w:t xml:space="preserve">                                                                </w:t>
      </w:r>
    </w:p>
    <w:p w14:paraId="0BDD187F">
      <w:pPr>
        <w:adjustRightInd w:val="0"/>
        <w:snapToGrid w:val="0"/>
        <w:spacing w:line="360" w:lineRule="auto"/>
        <w:rPr>
          <w:rFonts w:ascii="宋体" w:hAnsi="宋体" w:cs="仿宋"/>
          <w:color w:val="000000"/>
          <w:sz w:val="24"/>
          <w:szCs w:val="24"/>
        </w:rPr>
      </w:pPr>
      <w:r>
        <w:rPr>
          <w:rFonts w:hint="eastAsia" w:ascii="宋体" w:hAnsi="宋体" w:cs="仿宋"/>
          <w:color w:val="000000"/>
          <w:sz w:val="24"/>
          <w:szCs w:val="24"/>
        </w:rPr>
        <w:t>地址：</w:t>
      </w:r>
      <w:r>
        <w:rPr>
          <w:rFonts w:ascii="宋体" w:hAnsi="宋体" w:cs="仿宋"/>
          <w:color w:val="000000"/>
          <w:sz w:val="24"/>
          <w:szCs w:val="24"/>
        </w:rPr>
        <w:t xml:space="preserve"> </w:t>
      </w:r>
      <w:r>
        <w:rPr>
          <w:rFonts w:hint="eastAsia" w:ascii="宋体" w:hAnsi="宋体" w:cs="仿宋"/>
          <w:color w:val="000000"/>
          <w:sz w:val="24"/>
          <w:szCs w:val="24"/>
          <w:u w:val="dotted"/>
        </w:rPr>
        <w:t xml:space="preserve">                        </w:t>
      </w:r>
      <w:r>
        <w:rPr>
          <w:rFonts w:hint="eastAsia" w:ascii="宋体" w:hAnsi="宋体" w:cs="仿宋"/>
          <w:color w:val="000000"/>
          <w:sz w:val="24"/>
          <w:szCs w:val="24"/>
        </w:rPr>
        <w:t>邮编：</w:t>
      </w:r>
      <w:r>
        <w:rPr>
          <w:rFonts w:hint="eastAsia" w:ascii="宋体" w:hAnsi="宋体" w:cs="仿宋"/>
          <w:color w:val="000000"/>
          <w:sz w:val="24"/>
          <w:szCs w:val="24"/>
          <w:u w:val="dotted"/>
        </w:rPr>
        <w:t xml:space="preserve">                                     </w:t>
      </w:r>
    </w:p>
    <w:p w14:paraId="0DF30E16">
      <w:pPr>
        <w:adjustRightInd w:val="0"/>
        <w:snapToGrid w:val="0"/>
        <w:spacing w:line="360" w:lineRule="auto"/>
        <w:rPr>
          <w:rFonts w:ascii="宋体" w:hAnsi="宋体" w:cs="仿宋"/>
          <w:bCs/>
          <w:color w:val="000000"/>
          <w:sz w:val="24"/>
          <w:szCs w:val="24"/>
        </w:rPr>
      </w:pPr>
      <w:r>
        <w:rPr>
          <w:rFonts w:hint="eastAsia" w:ascii="宋体" w:hAnsi="宋体" w:cs="仿宋"/>
          <w:bCs/>
          <w:color w:val="000000"/>
          <w:sz w:val="24"/>
          <w:szCs w:val="24"/>
        </w:rPr>
        <w:t>二、质疑项目基本情况</w:t>
      </w:r>
    </w:p>
    <w:p w14:paraId="3D83B86F">
      <w:pPr>
        <w:adjustRightInd w:val="0"/>
        <w:snapToGrid w:val="0"/>
        <w:spacing w:line="360" w:lineRule="auto"/>
        <w:rPr>
          <w:rFonts w:ascii="宋体" w:hAnsi="宋体" w:cs="仿宋"/>
          <w:color w:val="000000"/>
          <w:sz w:val="24"/>
          <w:szCs w:val="24"/>
        </w:rPr>
      </w:pPr>
      <w:r>
        <w:rPr>
          <w:rFonts w:hint="eastAsia" w:ascii="宋体" w:hAnsi="宋体" w:cs="仿宋"/>
          <w:color w:val="000000"/>
          <w:sz w:val="24"/>
          <w:szCs w:val="24"/>
        </w:rPr>
        <w:t>质疑项目的名称：</w:t>
      </w:r>
      <w:r>
        <w:rPr>
          <w:rFonts w:hint="eastAsia" w:ascii="宋体" w:hAnsi="宋体" w:cs="仿宋"/>
          <w:color w:val="000000"/>
          <w:sz w:val="24"/>
          <w:szCs w:val="24"/>
          <w:u w:val="dotted"/>
        </w:rPr>
        <w:t xml:space="preserve">                                                          </w:t>
      </w:r>
    </w:p>
    <w:p w14:paraId="0ED1B31F">
      <w:pPr>
        <w:adjustRightInd w:val="0"/>
        <w:snapToGrid w:val="0"/>
        <w:spacing w:line="360" w:lineRule="auto"/>
        <w:rPr>
          <w:rFonts w:ascii="宋体" w:hAnsi="宋体" w:cs="仿宋"/>
          <w:color w:val="000000"/>
          <w:sz w:val="24"/>
          <w:szCs w:val="24"/>
        </w:rPr>
      </w:pPr>
      <w:r>
        <w:rPr>
          <w:rFonts w:hint="eastAsia" w:ascii="宋体" w:hAnsi="宋体" w:cs="仿宋"/>
          <w:color w:val="000000"/>
          <w:sz w:val="24"/>
          <w:szCs w:val="24"/>
        </w:rPr>
        <w:t>质疑项目的编号：</w:t>
      </w:r>
      <w:r>
        <w:rPr>
          <w:rFonts w:hint="eastAsia" w:ascii="宋体" w:hAnsi="宋体" w:cs="仿宋"/>
          <w:color w:val="000000"/>
          <w:sz w:val="24"/>
          <w:szCs w:val="24"/>
          <w:u w:val="dotted"/>
        </w:rPr>
        <w:t xml:space="preserve">                         </w:t>
      </w:r>
      <w:r>
        <w:rPr>
          <w:rFonts w:hint="eastAsia" w:ascii="宋体" w:hAnsi="宋体" w:cs="仿宋"/>
          <w:color w:val="000000"/>
          <w:sz w:val="24"/>
          <w:szCs w:val="24"/>
        </w:rPr>
        <w:t>包号：</w:t>
      </w:r>
      <w:r>
        <w:rPr>
          <w:rFonts w:hint="eastAsia" w:ascii="宋体" w:hAnsi="宋体" w:cs="仿宋"/>
          <w:color w:val="000000"/>
          <w:sz w:val="24"/>
          <w:szCs w:val="24"/>
          <w:u w:val="dotted"/>
        </w:rPr>
        <w:t xml:space="preserve">                           </w:t>
      </w:r>
    </w:p>
    <w:p w14:paraId="402987E1">
      <w:pPr>
        <w:adjustRightInd w:val="0"/>
        <w:snapToGrid w:val="0"/>
        <w:spacing w:line="360" w:lineRule="auto"/>
        <w:rPr>
          <w:rFonts w:ascii="宋体" w:hAnsi="宋体" w:cs="仿宋"/>
          <w:color w:val="000000"/>
          <w:sz w:val="24"/>
          <w:szCs w:val="24"/>
          <w:u w:val="dotted"/>
        </w:rPr>
      </w:pPr>
      <w:r>
        <w:rPr>
          <w:rFonts w:hint="eastAsia" w:ascii="宋体" w:hAnsi="宋体" w:cs="仿宋"/>
          <w:color w:val="000000"/>
          <w:sz w:val="24"/>
          <w:szCs w:val="24"/>
        </w:rPr>
        <w:t>采购人名称：</w:t>
      </w:r>
      <w:r>
        <w:rPr>
          <w:rFonts w:hint="eastAsia" w:ascii="宋体" w:hAnsi="宋体" w:cs="仿宋"/>
          <w:color w:val="000000"/>
          <w:sz w:val="24"/>
          <w:szCs w:val="24"/>
          <w:u w:val="dotted"/>
        </w:rPr>
        <w:t xml:space="preserve">                                                              </w:t>
      </w:r>
    </w:p>
    <w:p w14:paraId="4A281602">
      <w:pPr>
        <w:adjustRightInd w:val="0"/>
        <w:snapToGrid w:val="0"/>
        <w:spacing w:line="360" w:lineRule="auto"/>
        <w:rPr>
          <w:rFonts w:ascii="宋体" w:hAnsi="宋体" w:cs="仿宋"/>
          <w:color w:val="000000"/>
          <w:sz w:val="24"/>
          <w:szCs w:val="24"/>
        </w:rPr>
      </w:pPr>
      <w:r>
        <w:rPr>
          <w:rFonts w:hint="eastAsia" w:ascii="宋体" w:hAnsi="宋体" w:cs="仿宋"/>
          <w:color w:val="000000"/>
          <w:sz w:val="24"/>
          <w:szCs w:val="24"/>
        </w:rPr>
        <w:t>采购文件获取日期：</w:t>
      </w:r>
      <w:r>
        <w:rPr>
          <w:rFonts w:hint="eastAsia" w:ascii="宋体" w:hAnsi="宋体" w:cs="仿宋"/>
          <w:color w:val="000000"/>
          <w:sz w:val="24"/>
          <w:szCs w:val="24"/>
          <w:u w:val="dotted"/>
        </w:rPr>
        <w:t xml:space="preserve">                                                        </w:t>
      </w:r>
    </w:p>
    <w:p w14:paraId="79D0AB8E">
      <w:pPr>
        <w:adjustRightInd w:val="0"/>
        <w:snapToGrid w:val="0"/>
        <w:spacing w:line="360" w:lineRule="auto"/>
        <w:rPr>
          <w:rFonts w:ascii="宋体" w:hAnsi="宋体" w:cs="仿宋"/>
          <w:bCs/>
          <w:color w:val="000000"/>
          <w:sz w:val="24"/>
          <w:szCs w:val="24"/>
        </w:rPr>
      </w:pPr>
      <w:r>
        <w:rPr>
          <w:rFonts w:hint="eastAsia" w:ascii="宋体" w:hAnsi="宋体" w:cs="仿宋"/>
          <w:bCs/>
          <w:color w:val="000000"/>
          <w:sz w:val="24"/>
          <w:szCs w:val="24"/>
        </w:rPr>
        <w:t>三、质疑事项具体内容</w:t>
      </w:r>
    </w:p>
    <w:p w14:paraId="68370B90">
      <w:pPr>
        <w:adjustRightInd w:val="0"/>
        <w:snapToGrid w:val="0"/>
        <w:spacing w:line="360" w:lineRule="auto"/>
        <w:rPr>
          <w:rFonts w:ascii="宋体" w:hAnsi="宋体" w:cs="仿宋"/>
          <w:color w:val="000000"/>
          <w:sz w:val="24"/>
          <w:szCs w:val="24"/>
          <w:u w:val="dotted"/>
        </w:rPr>
      </w:pPr>
      <w:r>
        <w:rPr>
          <w:rFonts w:hint="eastAsia" w:ascii="宋体" w:hAnsi="宋体" w:cs="仿宋"/>
          <w:color w:val="000000"/>
          <w:sz w:val="24"/>
          <w:szCs w:val="24"/>
        </w:rPr>
        <w:t>质疑事项1：</w:t>
      </w:r>
      <w:r>
        <w:rPr>
          <w:rFonts w:hint="eastAsia" w:ascii="宋体" w:hAnsi="宋体" w:cs="仿宋"/>
          <w:color w:val="000000"/>
          <w:sz w:val="24"/>
          <w:szCs w:val="24"/>
          <w:u w:val="dotted"/>
        </w:rPr>
        <w:t xml:space="preserve">                                                              </w:t>
      </w:r>
    </w:p>
    <w:p w14:paraId="1E5AF030">
      <w:pPr>
        <w:adjustRightInd w:val="0"/>
        <w:snapToGrid w:val="0"/>
        <w:spacing w:line="360" w:lineRule="auto"/>
        <w:rPr>
          <w:rFonts w:ascii="宋体" w:hAnsi="宋体" w:cs="仿宋"/>
          <w:color w:val="000000"/>
          <w:sz w:val="24"/>
          <w:szCs w:val="24"/>
          <w:u w:val="dotted"/>
        </w:rPr>
      </w:pPr>
      <w:r>
        <w:rPr>
          <w:rFonts w:hint="eastAsia" w:ascii="宋体" w:hAnsi="宋体" w:cs="仿宋"/>
          <w:color w:val="000000"/>
          <w:sz w:val="24"/>
          <w:szCs w:val="24"/>
        </w:rPr>
        <w:t>事实依据：</w:t>
      </w:r>
      <w:r>
        <w:rPr>
          <w:rFonts w:hint="eastAsia" w:ascii="宋体" w:hAnsi="宋体" w:cs="仿宋"/>
          <w:color w:val="000000"/>
          <w:sz w:val="24"/>
          <w:szCs w:val="24"/>
          <w:u w:val="dotted"/>
        </w:rPr>
        <w:t xml:space="preserve">                                                                </w:t>
      </w:r>
    </w:p>
    <w:p w14:paraId="78B690C8">
      <w:pPr>
        <w:adjustRightInd w:val="0"/>
        <w:snapToGrid w:val="0"/>
        <w:spacing w:line="360" w:lineRule="auto"/>
        <w:rPr>
          <w:rFonts w:ascii="宋体" w:hAnsi="宋体" w:cs="仿宋"/>
          <w:color w:val="000000"/>
          <w:sz w:val="24"/>
          <w:szCs w:val="24"/>
        </w:rPr>
      </w:pPr>
      <w:r>
        <w:rPr>
          <w:rFonts w:hint="eastAsia" w:ascii="宋体" w:hAnsi="宋体" w:cs="仿宋"/>
          <w:color w:val="000000"/>
          <w:sz w:val="24"/>
          <w:szCs w:val="24"/>
          <w:u w:val="dotted"/>
        </w:rPr>
        <w:t xml:space="preserve">                                                                           </w:t>
      </w:r>
    </w:p>
    <w:p w14:paraId="7E0ED831">
      <w:pPr>
        <w:adjustRightInd w:val="0"/>
        <w:snapToGrid w:val="0"/>
        <w:spacing w:line="360" w:lineRule="auto"/>
        <w:rPr>
          <w:rFonts w:ascii="宋体" w:hAnsi="宋体" w:cs="仿宋"/>
          <w:color w:val="000000"/>
          <w:sz w:val="24"/>
          <w:szCs w:val="24"/>
          <w:u w:val="dotted"/>
        </w:rPr>
      </w:pPr>
      <w:r>
        <w:rPr>
          <w:rFonts w:hint="eastAsia" w:ascii="宋体" w:hAnsi="宋体" w:cs="仿宋"/>
          <w:color w:val="000000"/>
          <w:sz w:val="24"/>
          <w:szCs w:val="24"/>
        </w:rPr>
        <w:t>法律依据：</w:t>
      </w:r>
      <w:r>
        <w:rPr>
          <w:rFonts w:hint="eastAsia" w:ascii="宋体" w:hAnsi="宋体" w:cs="仿宋"/>
          <w:color w:val="000000"/>
          <w:sz w:val="24"/>
          <w:szCs w:val="24"/>
          <w:u w:val="dotted"/>
        </w:rPr>
        <w:t xml:space="preserve">                                                                 </w:t>
      </w:r>
    </w:p>
    <w:p w14:paraId="0F1BF4B1">
      <w:pPr>
        <w:adjustRightInd w:val="0"/>
        <w:snapToGrid w:val="0"/>
        <w:spacing w:line="360" w:lineRule="auto"/>
        <w:rPr>
          <w:rFonts w:ascii="宋体" w:hAnsi="宋体" w:cs="仿宋"/>
          <w:color w:val="000000"/>
          <w:sz w:val="24"/>
          <w:szCs w:val="24"/>
          <w:u w:val="dotted"/>
        </w:rPr>
      </w:pPr>
      <w:r>
        <w:rPr>
          <w:rFonts w:hint="eastAsia" w:ascii="宋体" w:hAnsi="宋体" w:cs="仿宋"/>
          <w:color w:val="000000"/>
          <w:sz w:val="24"/>
          <w:szCs w:val="24"/>
          <w:u w:val="dotted"/>
        </w:rPr>
        <w:t xml:space="preserve">                                                                           </w:t>
      </w:r>
    </w:p>
    <w:p w14:paraId="7A32ED5C">
      <w:pPr>
        <w:adjustRightInd w:val="0"/>
        <w:snapToGrid w:val="0"/>
        <w:spacing w:line="360" w:lineRule="auto"/>
        <w:rPr>
          <w:rFonts w:ascii="宋体" w:hAnsi="宋体" w:cs="仿宋"/>
          <w:color w:val="000000"/>
          <w:sz w:val="24"/>
          <w:szCs w:val="24"/>
          <w:u w:val="dotted"/>
        </w:rPr>
      </w:pPr>
      <w:r>
        <w:rPr>
          <w:rFonts w:hint="eastAsia" w:ascii="宋体" w:hAnsi="宋体" w:cs="仿宋"/>
          <w:color w:val="000000"/>
          <w:sz w:val="24"/>
          <w:szCs w:val="24"/>
        </w:rPr>
        <w:t>质疑事项2</w:t>
      </w:r>
    </w:p>
    <w:p w14:paraId="2201B8FB">
      <w:pPr>
        <w:adjustRightInd w:val="0"/>
        <w:snapToGrid w:val="0"/>
        <w:spacing w:line="360" w:lineRule="auto"/>
        <w:rPr>
          <w:rFonts w:ascii="宋体" w:hAnsi="宋体" w:cs="仿宋"/>
          <w:color w:val="000000"/>
          <w:sz w:val="24"/>
          <w:szCs w:val="24"/>
        </w:rPr>
      </w:pPr>
      <w:r>
        <w:rPr>
          <w:rFonts w:hint="eastAsia" w:ascii="宋体" w:hAnsi="宋体" w:cs="仿宋"/>
          <w:color w:val="000000"/>
          <w:sz w:val="24"/>
          <w:szCs w:val="24"/>
        </w:rPr>
        <w:t>……</w:t>
      </w:r>
    </w:p>
    <w:p w14:paraId="27D8929F">
      <w:pPr>
        <w:adjustRightInd w:val="0"/>
        <w:snapToGrid w:val="0"/>
        <w:spacing w:line="360" w:lineRule="auto"/>
        <w:rPr>
          <w:rFonts w:ascii="宋体" w:hAnsi="宋体" w:cs="仿宋"/>
          <w:bCs/>
          <w:color w:val="000000"/>
          <w:sz w:val="24"/>
          <w:szCs w:val="24"/>
        </w:rPr>
      </w:pPr>
      <w:r>
        <w:rPr>
          <w:rFonts w:hint="eastAsia" w:ascii="宋体" w:hAnsi="宋体" w:cs="仿宋"/>
          <w:bCs/>
          <w:color w:val="000000"/>
          <w:sz w:val="24"/>
          <w:szCs w:val="24"/>
        </w:rPr>
        <w:t>四、与质疑事项相关的质疑请求</w:t>
      </w:r>
    </w:p>
    <w:p w14:paraId="6CFE3C5F">
      <w:pPr>
        <w:adjustRightInd w:val="0"/>
        <w:snapToGrid w:val="0"/>
        <w:spacing w:line="360" w:lineRule="auto"/>
        <w:rPr>
          <w:rFonts w:ascii="宋体" w:hAnsi="宋体" w:cs="仿宋"/>
          <w:color w:val="000000"/>
          <w:sz w:val="24"/>
          <w:szCs w:val="24"/>
          <w:u w:val="dotted"/>
        </w:rPr>
      </w:pPr>
      <w:r>
        <w:rPr>
          <w:rFonts w:hint="eastAsia" w:ascii="宋体" w:hAnsi="宋体" w:cs="仿宋"/>
          <w:color w:val="000000"/>
          <w:sz w:val="24"/>
          <w:szCs w:val="24"/>
        </w:rPr>
        <w:t>请求：</w:t>
      </w:r>
      <w:r>
        <w:rPr>
          <w:rFonts w:hint="eastAsia" w:ascii="宋体" w:hAnsi="宋体" w:cs="仿宋"/>
          <w:color w:val="000000"/>
          <w:sz w:val="24"/>
          <w:szCs w:val="24"/>
          <w:u w:val="dotted"/>
        </w:rPr>
        <w:t xml:space="preserve">                                                                     </w:t>
      </w:r>
    </w:p>
    <w:p w14:paraId="7E5CD248">
      <w:pPr>
        <w:rPr>
          <w:rFonts w:ascii="宋体" w:hAnsi="宋体"/>
          <w:color w:val="000000"/>
          <w:sz w:val="24"/>
          <w:szCs w:val="24"/>
        </w:rPr>
      </w:pPr>
      <w:r>
        <w:rPr>
          <w:rFonts w:hint="eastAsia" w:ascii="宋体" w:hAnsi="宋体"/>
          <w:color w:val="000000"/>
          <w:sz w:val="24"/>
          <w:szCs w:val="24"/>
        </w:rPr>
        <w:t xml:space="preserve">签字(签章)：                   公章：                      </w:t>
      </w:r>
    </w:p>
    <w:p w14:paraId="53F6FA41">
      <w:pPr>
        <w:rPr>
          <w:rFonts w:ascii="宋体" w:hAnsi="宋体"/>
          <w:color w:val="000000"/>
          <w:sz w:val="24"/>
          <w:szCs w:val="24"/>
        </w:rPr>
      </w:pPr>
      <w:r>
        <w:rPr>
          <w:rFonts w:hint="eastAsia" w:ascii="宋体" w:hAnsi="宋体"/>
          <w:color w:val="000000"/>
          <w:sz w:val="24"/>
          <w:szCs w:val="24"/>
        </w:rPr>
        <w:t xml:space="preserve">日期：    </w:t>
      </w:r>
    </w:p>
    <w:p w14:paraId="70B3C414">
      <w:pPr>
        <w:spacing w:line="400" w:lineRule="exact"/>
        <w:rPr>
          <w:rFonts w:ascii="宋体" w:hAnsi="宋体"/>
          <w:b/>
          <w:color w:val="000000"/>
          <w:sz w:val="24"/>
          <w:szCs w:val="24"/>
        </w:rPr>
      </w:pPr>
      <w:r>
        <w:rPr>
          <w:rFonts w:hint="eastAsia" w:ascii="宋体" w:hAnsi="宋体"/>
          <w:b/>
          <w:color w:val="000000"/>
          <w:sz w:val="24"/>
          <w:szCs w:val="24"/>
        </w:rPr>
        <w:t>质疑函制作说明：</w:t>
      </w:r>
    </w:p>
    <w:p w14:paraId="6AC9711B">
      <w:pPr>
        <w:widowControl/>
        <w:spacing w:line="400" w:lineRule="exact"/>
        <w:ind w:firstLine="480" w:firstLineChars="200"/>
        <w:jc w:val="left"/>
        <w:rPr>
          <w:rFonts w:ascii="宋体" w:hAnsi="宋体"/>
          <w:color w:val="000000"/>
          <w:sz w:val="24"/>
          <w:szCs w:val="24"/>
        </w:rPr>
      </w:pPr>
      <w:r>
        <w:rPr>
          <w:rFonts w:hint="eastAsia" w:ascii="宋体" w:hAnsi="宋体"/>
          <w:color w:val="000000"/>
          <w:sz w:val="24"/>
          <w:szCs w:val="24"/>
        </w:rPr>
        <w:t>1.供应商提出质疑时，应提交质疑函和必要的证明材料。</w:t>
      </w:r>
    </w:p>
    <w:p w14:paraId="666A9332">
      <w:pPr>
        <w:widowControl/>
        <w:spacing w:line="400" w:lineRule="exact"/>
        <w:ind w:firstLine="480" w:firstLineChars="200"/>
        <w:jc w:val="left"/>
        <w:rPr>
          <w:rFonts w:ascii="宋体" w:hAnsi="宋体"/>
          <w:color w:val="000000"/>
          <w:sz w:val="24"/>
          <w:szCs w:val="24"/>
        </w:rPr>
      </w:pPr>
      <w:r>
        <w:rPr>
          <w:rFonts w:hint="eastAsia" w:ascii="宋体" w:hAnsi="宋体"/>
          <w:color w:val="000000"/>
          <w:sz w:val="24"/>
          <w:szCs w:val="24"/>
        </w:rPr>
        <w:t>2.质疑供应商若委托代理人进行质疑的，质疑函应按要求列明“授权代表”的有关内容，并在附件中提交由质疑</w:t>
      </w:r>
      <w:r>
        <w:rPr>
          <w:rFonts w:hint="eastAsia" w:ascii="宋体" w:hAnsi="宋体" w:cs="宋体"/>
          <w:color w:val="000000"/>
          <w:kern w:val="0"/>
          <w:sz w:val="24"/>
          <w:szCs w:val="24"/>
        </w:rPr>
        <w:t>供应商签署的授权委托书。授权委托书应载明代理人的姓名或者名称、代理事项、具体权限、期限和相关事项。</w:t>
      </w:r>
    </w:p>
    <w:p w14:paraId="3FD670E7">
      <w:pPr>
        <w:widowControl/>
        <w:spacing w:line="400" w:lineRule="exact"/>
        <w:ind w:firstLine="480" w:firstLineChars="200"/>
        <w:jc w:val="left"/>
        <w:rPr>
          <w:rFonts w:ascii="宋体" w:hAnsi="宋体"/>
          <w:color w:val="000000"/>
          <w:sz w:val="24"/>
          <w:szCs w:val="24"/>
        </w:rPr>
      </w:pPr>
      <w:r>
        <w:rPr>
          <w:rFonts w:hint="eastAsia" w:ascii="宋体" w:hAnsi="宋体"/>
          <w:color w:val="000000"/>
          <w:sz w:val="24"/>
          <w:szCs w:val="24"/>
        </w:rPr>
        <w:t>3.质疑供应商若对项目的某一分包进行质疑，质疑函中应列明具体分包号。</w:t>
      </w:r>
    </w:p>
    <w:p w14:paraId="39FCCB0D">
      <w:pPr>
        <w:widowControl/>
        <w:spacing w:line="400" w:lineRule="exact"/>
        <w:ind w:firstLine="480" w:firstLineChars="200"/>
        <w:jc w:val="left"/>
        <w:rPr>
          <w:rFonts w:ascii="宋体" w:hAnsi="宋体"/>
          <w:color w:val="000000"/>
          <w:sz w:val="24"/>
          <w:szCs w:val="24"/>
        </w:rPr>
      </w:pPr>
      <w:r>
        <w:rPr>
          <w:rFonts w:hint="eastAsia" w:ascii="宋体" w:hAnsi="宋体"/>
          <w:color w:val="000000"/>
          <w:sz w:val="24"/>
          <w:szCs w:val="24"/>
        </w:rPr>
        <w:t>4.质疑函的质疑事项应具体、明确，并有必要的事实依据和法律依据。</w:t>
      </w:r>
    </w:p>
    <w:p w14:paraId="563F7791">
      <w:pPr>
        <w:widowControl/>
        <w:spacing w:line="400" w:lineRule="exact"/>
        <w:ind w:firstLine="480" w:firstLineChars="200"/>
        <w:jc w:val="left"/>
        <w:rPr>
          <w:rFonts w:ascii="宋体" w:hAnsi="宋体"/>
          <w:color w:val="000000"/>
          <w:sz w:val="24"/>
          <w:szCs w:val="24"/>
        </w:rPr>
      </w:pPr>
      <w:r>
        <w:rPr>
          <w:rFonts w:hint="eastAsia" w:ascii="宋体" w:hAnsi="宋体"/>
          <w:color w:val="000000"/>
          <w:sz w:val="24"/>
          <w:szCs w:val="24"/>
        </w:rPr>
        <w:t>5.质疑函的质疑请求应与质疑事项相关。</w:t>
      </w:r>
    </w:p>
    <w:p w14:paraId="62D1FD37">
      <w:pPr>
        <w:widowControl/>
        <w:spacing w:line="400" w:lineRule="exact"/>
        <w:ind w:firstLine="480" w:firstLineChars="200"/>
        <w:jc w:val="left"/>
        <w:rPr>
          <w:rFonts w:ascii="宋体" w:hAnsi="宋体"/>
          <w:color w:val="000000"/>
          <w:sz w:val="24"/>
          <w:szCs w:val="24"/>
        </w:rPr>
      </w:pPr>
      <w:r>
        <w:rPr>
          <w:rFonts w:hint="eastAsia" w:ascii="宋体" w:hAnsi="宋体"/>
          <w:color w:val="000000"/>
          <w:sz w:val="24"/>
          <w:szCs w:val="24"/>
        </w:rPr>
        <w:t>6.质疑供应商为自然人的，质疑函应由本人签字；质疑供应商为法人或者其他组织的，质疑函应由法定代表人、主要负责人，或者其授权代表签字或者盖章，并加盖公章。</w:t>
      </w:r>
    </w:p>
    <w:p w14:paraId="539F918F">
      <w:pPr>
        <w:ind w:firstLine="420"/>
        <w:rPr>
          <w:rFonts w:ascii="Times New Roman" w:hAnsi="Times New Roman"/>
          <w:color w:val="000000"/>
          <w:sz w:val="24"/>
          <w:szCs w:val="24"/>
        </w:rPr>
      </w:pPr>
    </w:p>
    <w:p w14:paraId="0B242723">
      <w:pPr>
        <w:ind w:firstLine="420"/>
        <w:rPr>
          <w:rFonts w:ascii="Times New Roman" w:hAnsi="Times New Roman"/>
          <w:color w:val="000000"/>
          <w:sz w:val="24"/>
          <w:szCs w:val="24"/>
        </w:rPr>
      </w:pPr>
    </w:p>
    <w:p w14:paraId="1FD6443C">
      <w:pPr>
        <w:pStyle w:val="23"/>
        <w:ind w:left="562" w:hanging="562"/>
        <w:rPr>
          <w:rFonts w:hAnsi="宋体" w:cs="宋体"/>
          <w:b/>
          <w:sz w:val="24"/>
          <w:szCs w:val="24"/>
        </w:rPr>
      </w:pPr>
    </w:p>
    <w:sectPr>
      <w:footerReference r:id="rId5" w:type="first"/>
      <w:headerReference r:id="rId3" w:type="default"/>
      <w:footerReference r:id="rId4" w:type="default"/>
      <w:pgSz w:w="11906" w:h="16838"/>
      <w:pgMar w:top="1440" w:right="1418" w:bottom="1440"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Verdana">
    <w:panose1 w:val="020B0604030504040204"/>
    <w:charset w:val="00"/>
    <w:family w:val="swiss"/>
    <w:pitch w:val="default"/>
    <w:sig w:usb0="A00006FF" w:usb1="4000205B" w:usb2="00000010" w:usb3="00000000" w:csb0="2000019F" w:csb1="00000000"/>
  </w:font>
  <w:font w:name="Adobe 仿宋 Std R">
    <w:altName w:val="仿宋"/>
    <w:panose1 w:val="00000000000000000000"/>
    <w:charset w:val="86"/>
    <w:family w:val="roman"/>
    <w:pitch w:val="default"/>
    <w:sig w:usb0="00000000" w:usb1="00000000" w:usb2="00000016" w:usb3="00000000" w:csb0="00060007" w:csb1="00000000"/>
  </w:font>
  <w:font w:name="方正仿宋简体">
    <w:altName w:val="微软雅黑"/>
    <w:panose1 w:val="00000000000000000000"/>
    <w:charset w:val="86"/>
    <w:family w:val="script"/>
    <w:pitch w:val="default"/>
    <w:sig w:usb0="00000000" w:usb1="00000000" w:usb2="00000000" w:usb3="00000000" w:csb0="00040000" w:csb1="00000000"/>
  </w:font>
  <w:font w:name="微软雅黑">
    <w:panose1 w:val="020B0503020204020204"/>
    <w:charset w:val="86"/>
    <w:family w:val="swiss"/>
    <w:pitch w:val="default"/>
    <w:sig w:usb0="80000287" w:usb1="2ACF3C50" w:usb2="00000016" w:usb3="00000000" w:csb0="0004001F" w:csb1="00000000"/>
  </w:font>
  <w:font w:name="等线 Light">
    <w:panose1 w:val="02010600030101010101"/>
    <w:charset w:val="86"/>
    <w:family w:val="auto"/>
    <w:pitch w:val="default"/>
    <w:sig w:usb0="A00002BF" w:usb1="38CF7CFA" w:usb2="00000016" w:usb3="00000000" w:csb0="0004000F" w:csb1="00000000"/>
  </w:font>
  <w:font w:name="Calibri Light">
    <w:panose1 w:val="020F0302020204030204"/>
    <w:charset w:val="00"/>
    <w:family w:val="swiss"/>
    <w:pitch w:val="default"/>
    <w:sig w:usb0="E4002EFF" w:usb1="C2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华文细黑">
    <w:altName w:val="微软雅黑"/>
    <w:panose1 w:val="00000000000000000000"/>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EF9A8">
    <w:pPr>
      <w:pStyle w:val="28"/>
      <w:tabs>
        <w:tab w:val="center" w:pos="7200"/>
        <w:tab w:val="clear" w:pos="4153"/>
      </w:tabs>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14935" cy="131445"/>
              <wp:effectExtent l="0" t="0" r="0" b="0"/>
              <wp:wrapNone/>
              <wp:docPr id="3" name="文本框 10"/>
              <wp:cNvGraphicFramePr/>
              <a:graphic xmlns:a="http://schemas.openxmlformats.org/drawingml/2006/main">
                <a:graphicData uri="http://schemas.microsoft.com/office/word/2010/wordprocessingShape">
                  <wps:wsp>
                    <wps:cNvSpPr txBox="1">
                      <a:spLocks noChangeArrowheads="1"/>
                    </wps:cNvSpPr>
                    <wps:spPr bwMode="auto">
                      <a:xfrm>
                        <a:off x="0" y="0"/>
                        <a:ext cx="114935" cy="131445"/>
                      </a:xfrm>
                      <a:prstGeom prst="rect">
                        <a:avLst/>
                      </a:prstGeom>
                      <a:noFill/>
                      <a:ln>
                        <a:noFill/>
                      </a:ln>
                      <a:effectLst/>
                    </wps:spPr>
                    <wps:txbx>
                      <w:txbxContent>
                        <w:p w14:paraId="47A7F3B4">
                          <w:pPr>
                            <w:pStyle w:val="28"/>
                          </w:pPr>
                          <w:r>
                            <w:fldChar w:fldCharType="begin"/>
                          </w:r>
                          <w:r>
                            <w:instrText xml:space="preserve"> PAGE  \* MERGEFORMAT </w:instrText>
                          </w:r>
                          <w:r>
                            <w:fldChar w:fldCharType="separate"/>
                          </w:r>
                          <w:r>
                            <w:t>5</w:t>
                          </w:r>
                          <w:r>
                            <w:fldChar w:fldCharType="end"/>
                          </w:r>
                        </w:p>
                      </w:txbxContent>
                    </wps:txbx>
                    <wps:bodyPr rot="0" vert="horz" wrap="none" lIns="0" tIns="0" rIns="0" bIns="0" anchor="t" anchorCtr="0" upright="1">
                      <a:spAutoFit/>
                    </wps:bodyPr>
                  </wps:wsp>
                </a:graphicData>
              </a:graphic>
            </wp:anchor>
          </w:drawing>
        </mc:Choice>
        <mc:Fallback>
          <w:pict>
            <v:shape id="文本框 10" o:spid="_x0000_s1026" o:spt="202" type="#_x0000_t202" style="position:absolute;left:0pt;margin-top:0pt;height:10.35pt;width:9.05pt;mso-position-horizontal:center;mso-position-horizontal-relative:margin;mso-wrap-style:none;z-index:251660288;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F6MVv0PAgAAEQQAAA4AAABkcnMvZTJvRG9jLnhtbK1TS27bMBDdF+gd&#10;CO5rWbFTtILlII3hokD6AdIegKYoi6jIIYa0pfQA7Q26yqb7nsvn6JCynDTdZNGNMCJn3sx787i4&#10;6E3L9gq9BlvyfDLlTFkJlbbbkn/5vH7xijMfhK1EC1aV/FZ5frF8/mzRuUKdQQNtpZARiPVF50re&#10;hOCKLPOyUUb4CThl6bIGNCLQL26zCkVH6KbNzqbTl1kHWDkEqbyn09VwyY+I+BRAqGst1Qrkzigb&#10;BlRUrQhEyTfaeb5M09a1kuFjXXsVWFtyYhrSl5pQvInfbLkQxRaFa7Q8jiCeMsIjTkZoS01PUCsR&#10;BNuh/gfKaIngoQ4TCSYbiCRFiEU+faTNTSOcSlxIau9Oovv/Bys/7D8h01XJZ5xZYWjhh58/Dne/&#10;D7++szzp0zlfUNqNo8TQv4GeXJO4encN8qtnFq4aYbfqEhG6RomK5sujstmD0rgRX/gIsuneQ0WN&#10;xC5AAuprNFE8koMROu3m9rQb1QcmY8t8/np2zpmkq3yWz+fnqYMoxmKHPrxVYFgMSo60+gQu9tc+&#10;xGFEMabEXhbWum3T+lv71wElDicq+edYPU4/8Aj9pqfaeLiB6pZIIQzeopdFQQP4jbOOfFVyS8+I&#10;s/adJVmiBccAx2AzBsJKKix54GwIr8Jg1Z1DvW0IdxT+kqRb60Trfoaj4OSUxPbo6mjFh/8p6/4l&#10;L/8A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eAQAAFtDb250ZW50X1R5cGVzXS54bWxQSwECFAAKAAAAAACHTuJAAAAAAAAAAAAAAAAABgAAAAAA&#10;AAAAABAAAABaAwAAX3JlbHMvUEsBAhQAFAAAAAgAh07iQIoUZjzRAAAAlAEAAAsAAAAAAAAAAQAg&#10;AAAAfgMAAF9yZWxzLy5yZWxzUEsBAhQACgAAAAAAh07iQAAAAAAAAAAAAAAAAAQAAAAAAAAAAAAQ&#10;AAAAAAAAAGRycy9QSwECFAAUAAAACACHTuJAQ+V+SdAAAAADAQAADwAAAAAAAAABACAAAAAiAAAA&#10;ZHJzL2Rvd25yZXYueG1sUEsBAhQAFAAAAAgAh07iQF6MVv0PAgAAEQQAAA4AAAAAAAAAAQAgAAAA&#10;HwEAAGRycy9lMm9Eb2MueG1sUEsFBgAAAAAGAAYAWQEAAKAFAAAAAA==&#10;">
              <v:fill on="f" focussize="0,0"/>
              <v:stroke on="f"/>
              <v:imagedata o:title=""/>
              <o:lock v:ext="edit" aspectratio="f"/>
              <v:textbox inset="0mm,0mm,0mm,0mm" style="mso-fit-shape-to-text:t;">
                <w:txbxContent>
                  <w:p w14:paraId="47A7F3B4">
                    <w:pPr>
                      <w:pStyle w:val="28"/>
                    </w:pPr>
                    <w:r>
                      <w:fldChar w:fldCharType="begin"/>
                    </w:r>
                    <w:r>
                      <w:instrText xml:space="preserve"> PAGE  \* MERGEFORMAT </w:instrText>
                    </w:r>
                    <w:r>
                      <w:fldChar w:fldCharType="separate"/>
                    </w:r>
                    <w:r>
                      <w:t>5</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37740A3">
    <w:pPr>
      <w:pStyle w:val="28"/>
      <w:jc w:val="both"/>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14"/>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a:effectLst/>
                    </wps:spPr>
                    <wps:txbx>
                      <w:txbxContent>
                        <w:p w14:paraId="55B0823C">
                          <w:pPr>
                            <w:pStyle w:val="28"/>
                          </w:pPr>
                          <w:r>
                            <w:fldChar w:fldCharType="begin"/>
                          </w:r>
                          <w:r>
                            <w:instrText xml:space="preserve"> PAGE  \* MERGEFORMAT </w:instrText>
                          </w:r>
                          <w:r>
                            <w:fldChar w:fldCharType="separate"/>
                          </w:r>
                          <w:r>
                            <w:t>16</w:t>
                          </w:r>
                          <w:r>
                            <w:fldChar w:fldCharType="end"/>
                          </w:r>
                        </w:p>
                      </w:txbxContent>
                    </wps:txbx>
                    <wps:bodyPr rot="0" vert="horz" wrap="none" lIns="0" tIns="0" rIns="0" bIns="0" anchor="t" anchorCtr="0" upright="1">
                      <a:spAutoFit/>
                    </wps:bodyPr>
                  </wps:wsp>
                </a:graphicData>
              </a:graphic>
            </wp:anchor>
          </w:drawing>
        </mc:Choice>
        <mc:Fallback>
          <w:pict>
            <v:shape id="文本框 14"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1HVHAoCAAATBAAADgAAAGRycy9lMm9Eb2MueG1srVNLbtswEN0X6B0I&#10;7mvZRlG4guUgjeGiQPoB0h6ApiiLqMghhrQl9wDtDbrqpvucy+fokJKcNNlkkQ0xnM+beY/D5UVn&#10;GnZQ6DXYgs8mU86UlVBquyv4t6+bVwvOfBC2FA1YVfCj8vxi9fLFsnW5mkMNTamQEYj1eesKXofg&#10;8izzslZG+Ak4ZSlYARoR6Iq7rETRErppsvl0+iZrAUuHIJX35F33QT4g4lMAoaq0VGuQe6Ns6FFR&#10;NSIQJV9r5/kqTVtVSobPVeVVYE3BiWlIJzUhexvPbLUU+Q6Fq7UcRhBPGeEBJyO0paZnqLUIgu1R&#10;P4IyWiJ4qMJEgsl6IkkRYjGbPtDmphZOJS4ktXdn0f3zwcpPhy/IdFnwt5xZYejBT79/nf7cnv7+&#10;ZLPXUZ/W+ZzSbhwlhu4ddLQ1iat31yC/e2bhqhZ2py4Roa2VKGm+WazM7pX2OD6CbNuPUFIjsQ+Q&#10;gLoKTRSP5GCETm9zPL+N6gKTseVivlhMKSQpNl5iD5GP5Q59eK/AsGgUHOnxE7w4XPvQp44psZuF&#10;jW4a8ou8sf85CLP3qLRBQ3UkE+fvmYRu21FtdG6hPBIthH676G+RUQP+4KylzSq4pY/EWfPBkjBx&#10;CUcDR2M7GsJKKix44Kw3r0K/rHuHelcT7ij9JYm30YnW3QyD5LQrSZhhr+My3r+nrLu/vPoH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zql5uc8AAAAFAQAADwAAAAAAAAABACAAAAAiAAAAZHJzL2Rv&#10;d25yZXYueG1sUEsBAhQAFAAAAAgAh07iQLNR1RwKAgAAEwQAAA4AAAAAAAAAAQAgAAAAHgEAAGRy&#10;cy9lMm9Eb2MueG1sUEsFBgAAAAAGAAYAWQEAAJoFAAAAAA==&#10;">
              <v:fill on="f" focussize="0,0"/>
              <v:stroke on="f"/>
              <v:imagedata o:title=""/>
              <o:lock v:ext="edit" aspectratio="f"/>
              <v:textbox inset="0mm,0mm,0mm,0mm" style="mso-fit-shape-to-text:t;">
                <w:txbxContent>
                  <w:p w14:paraId="55B0823C">
                    <w:pPr>
                      <w:pStyle w:val="28"/>
                    </w:pPr>
                    <w:r>
                      <w:fldChar w:fldCharType="begin"/>
                    </w:r>
                    <w:r>
                      <w:instrText xml:space="preserve"> PAGE  \* MERGEFORMAT </w:instrText>
                    </w:r>
                    <w:r>
                      <w:fldChar w:fldCharType="separate"/>
                    </w:r>
                    <w:r>
                      <w:t>16</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507CB98">
    <w:pPr>
      <w:pStyle w:val="2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2BD5C18"/>
    <w:multiLevelType w:val="singleLevel"/>
    <w:tmpl w:val="92BD5C18"/>
    <w:lvl w:ilvl="0" w:tentative="0">
      <w:start w:val="32"/>
      <w:numFmt w:val="decimal"/>
      <w:suff w:val="nothing"/>
      <w:lvlText w:val="%1、"/>
      <w:lvlJc w:val="left"/>
    </w:lvl>
  </w:abstractNum>
  <w:abstractNum w:abstractNumId="1">
    <w:nsid w:val="00000004"/>
    <w:multiLevelType w:val="singleLevel"/>
    <w:tmpl w:val="00000004"/>
    <w:lvl w:ilvl="0" w:tentative="0">
      <w:start w:val="1"/>
      <w:numFmt w:val="decimal"/>
      <w:pStyle w:val="176"/>
      <w:suff w:val="nothing"/>
      <w:lvlText w:val="%1、"/>
      <w:lvlJc w:val="left"/>
      <w:pPr>
        <w:ind w:left="0" w:firstLine="0"/>
      </w:pPr>
      <w:rPr>
        <w:rFonts w:hint="eastAsia"/>
      </w:rPr>
    </w:lvl>
  </w:abstractNum>
  <w:abstractNum w:abstractNumId="2">
    <w:nsid w:val="0000001F"/>
    <w:multiLevelType w:val="multilevel"/>
    <w:tmpl w:val="0000001F"/>
    <w:lvl w:ilvl="0" w:tentative="0">
      <w:start w:val="1"/>
      <w:numFmt w:val="japaneseCounting"/>
      <w:lvlText w:val="第%1篇"/>
      <w:lvlJc w:val="left"/>
      <w:pPr>
        <w:tabs>
          <w:tab w:val="left" w:pos="1200"/>
        </w:tabs>
        <w:ind w:left="1200" w:hanging="1200"/>
      </w:pPr>
      <w:rPr>
        <w:rFonts w:hint="default" w:cs="Times New Roman"/>
      </w:rPr>
    </w:lvl>
    <w:lvl w:ilvl="1" w:tentative="0">
      <w:start w:val="1"/>
      <w:numFmt w:val="lowerLetter"/>
      <w:pStyle w:val="82"/>
      <w:lvlText w:val="%2)"/>
      <w:lvlJc w:val="left"/>
      <w:pPr>
        <w:tabs>
          <w:tab w:val="left" w:pos="840"/>
        </w:tabs>
        <w:ind w:left="840" w:hanging="420"/>
      </w:pPr>
      <w:rPr>
        <w:rFonts w:cs="Times New Roman"/>
      </w:rPr>
    </w:lvl>
    <w:lvl w:ilvl="2" w:tentative="0">
      <w:start w:val="1"/>
      <w:numFmt w:val="lowerRoman"/>
      <w:pStyle w:val="83"/>
      <w:lvlText w:val="%3."/>
      <w:lvlJc w:val="right"/>
      <w:pPr>
        <w:tabs>
          <w:tab w:val="left" w:pos="1260"/>
        </w:tabs>
        <w:ind w:left="1260" w:hanging="420"/>
      </w:pPr>
      <w:rPr>
        <w:rFonts w:cs="Times New Roman"/>
      </w:rPr>
    </w:lvl>
    <w:lvl w:ilvl="3" w:tentative="0">
      <w:start w:val="1"/>
      <w:numFmt w:val="decimal"/>
      <w:pStyle w:val="109"/>
      <w:lvlText w:val="%4."/>
      <w:lvlJc w:val="left"/>
      <w:pPr>
        <w:tabs>
          <w:tab w:val="left" w:pos="1680"/>
        </w:tabs>
        <w:ind w:left="1680" w:hanging="420"/>
      </w:pPr>
      <w:rPr>
        <w:rFonts w:cs="Times New Roman"/>
      </w:rPr>
    </w:lvl>
    <w:lvl w:ilvl="4" w:tentative="0">
      <w:start w:val="1"/>
      <w:numFmt w:val="lowerLetter"/>
      <w:lvlText w:val="%5)"/>
      <w:lvlJc w:val="left"/>
      <w:pPr>
        <w:tabs>
          <w:tab w:val="left" w:pos="2100"/>
        </w:tabs>
        <w:ind w:left="2100" w:hanging="420"/>
      </w:pPr>
      <w:rPr>
        <w:rFonts w:cs="Times New Roman"/>
      </w:rPr>
    </w:lvl>
    <w:lvl w:ilvl="5" w:tentative="0">
      <w:start w:val="1"/>
      <w:numFmt w:val="lowerRoman"/>
      <w:lvlText w:val="%6."/>
      <w:lvlJc w:val="right"/>
      <w:pPr>
        <w:tabs>
          <w:tab w:val="left" w:pos="2520"/>
        </w:tabs>
        <w:ind w:left="2520" w:hanging="420"/>
      </w:pPr>
      <w:rPr>
        <w:rFonts w:cs="Times New Roman"/>
      </w:rPr>
    </w:lvl>
    <w:lvl w:ilvl="6" w:tentative="0">
      <w:start w:val="1"/>
      <w:numFmt w:val="decimal"/>
      <w:lvlText w:val="%7."/>
      <w:lvlJc w:val="left"/>
      <w:pPr>
        <w:tabs>
          <w:tab w:val="left" w:pos="2940"/>
        </w:tabs>
        <w:ind w:left="2940" w:hanging="420"/>
      </w:pPr>
      <w:rPr>
        <w:rFonts w:cs="Times New Roman"/>
      </w:rPr>
    </w:lvl>
    <w:lvl w:ilvl="7" w:tentative="0">
      <w:start w:val="1"/>
      <w:numFmt w:val="lowerLetter"/>
      <w:lvlText w:val="%8)"/>
      <w:lvlJc w:val="left"/>
      <w:pPr>
        <w:tabs>
          <w:tab w:val="left" w:pos="3360"/>
        </w:tabs>
        <w:ind w:left="3360" w:hanging="420"/>
      </w:pPr>
      <w:rPr>
        <w:rFonts w:cs="Times New Roman"/>
      </w:rPr>
    </w:lvl>
    <w:lvl w:ilvl="8" w:tentative="0">
      <w:start w:val="1"/>
      <w:numFmt w:val="lowerRoman"/>
      <w:lvlText w:val="%9."/>
      <w:lvlJc w:val="right"/>
      <w:pPr>
        <w:tabs>
          <w:tab w:val="left" w:pos="3780"/>
        </w:tabs>
        <w:ind w:left="3780" w:hanging="420"/>
      </w:pPr>
      <w:rPr>
        <w:rFonts w:cs="Times New Roman"/>
      </w:rPr>
    </w:lvl>
  </w:abstractNum>
  <w:abstractNum w:abstractNumId="3">
    <w:nsid w:val="06FA52A0"/>
    <w:multiLevelType w:val="singleLevel"/>
    <w:tmpl w:val="06FA52A0"/>
    <w:lvl w:ilvl="0" w:tentative="0">
      <w:start w:val="1"/>
      <w:numFmt w:val="chineseCounting"/>
      <w:suff w:val="space"/>
      <w:lvlText w:val="第%1篇"/>
      <w:lvlJc w:val="left"/>
      <w:rPr>
        <w:rFonts w:hint="eastAsia"/>
      </w:rPr>
    </w:lvl>
  </w:abstractNum>
  <w:abstractNum w:abstractNumId="4">
    <w:nsid w:val="19AD0695"/>
    <w:multiLevelType w:val="singleLevel"/>
    <w:tmpl w:val="19AD0695"/>
    <w:lvl w:ilvl="0" w:tentative="0">
      <w:start w:val="1"/>
      <w:numFmt w:val="decimal"/>
      <w:lvlText w:val="%1."/>
      <w:lvlJc w:val="left"/>
      <w:pPr>
        <w:tabs>
          <w:tab w:val="left" w:pos="312"/>
        </w:tabs>
      </w:pPr>
    </w:lvl>
  </w:abstractNum>
  <w:abstractNum w:abstractNumId="5">
    <w:nsid w:val="1B09519B"/>
    <w:multiLevelType w:val="singleLevel"/>
    <w:tmpl w:val="1B09519B"/>
    <w:lvl w:ilvl="0" w:tentative="0">
      <w:start w:val="1"/>
      <w:numFmt w:val="decimal"/>
      <w:lvlText w:val="%1."/>
      <w:lvlJc w:val="left"/>
      <w:pPr>
        <w:tabs>
          <w:tab w:val="left" w:pos="312"/>
        </w:tabs>
      </w:pPr>
    </w:lvl>
  </w:abstractNum>
  <w:abstractNum w:abstractNumId="6">
    <w:nsid w:val="2504B1E1"/>
    <w:multiLevelType w:val="singleLevel"/>
    <w:tmpl w:val="2504B1E1"/>
    <w:lvl w:ilvl="0" w:tentative="0">
      <w:start w:val="1"/>
      <w:numFmt w:val="chineseCounting"/>
      <w:suff w:val="nothing"/>
      <w:lvlText w:val="%1、"/>
      <w:lvlJc w:val="left"/>
      <w:pPr>
        <w:ind w:left="37"/>
      </w:pPr>
      <w:rPr>
        <w:rFonts w:hint="eastAsia"/>
      </w:rPr>
    </w:lvl>
  </w:abstractNum>
  <w:abstractNum w:abstractNumId="7">
    <w:nsid w:val="2C8C9B5F"/>
    <w:multiLevelType w:val="singleLevel"/>
    <w:tmpl w:val="2C8C9B5F"/>
    <w:lvl w:ilvl="0" w:tentative="0">
      <w:start w:val="7"/>
      <w:numFmt w:val="decimal"/>
      <w:suff w:val="space"/>
      <w:lvlText w:val="%1."/>
      <w:lvlJc w:val="left"/>
    </w:lvl>
  </w:abstractNum>
  <w:num w:numId="1">
    <w:abstractNumId w:val="2"/>
  </w:num>
  <w:num w:numId="2">
    <w:abstractNumId w:val="1"/>
  </w:num>
  <w:num w:numId="3">
    <w:abstractNumId w:val="3"/>
  </w:num>
  <w:num w:numId="4">
    <w:abstractNumId w:val="5"/>
  </w:num>
  <w:num w:numId="5">
    <w:abstractNumId w:val="4"/>
  </w:num>
  <w:num w:numId="6">
    <w:abstractNumId w:val="0"/>
  </w:num>
  <w:num w:numId="7">
    <w:abstractNumId w:val="7"/>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BhNWM4ODYwMjU2MTg1YjY5OTUxNTJiYmJhNjM1MTcifQ=="/>
  </w:docVars>
  <w:rsids>
    <w:rsidRoot w:val="0017087C"/>
    <w:rsid w:val="000019CE"/>
    <w:rsid w:val="0000787C"/>
    <w:rsid w:val="0001032E"/>
    <w:rsid w:val="00010E27"/>
    <w:rsid w:val="000138F0"/>
    <w:rsid w:val="0001588F"/>
    <w:rsid w:val="00015EEC"/>
    <w:rsid w:val="000241FD"/>
    <w:rsid w:val="00025317"/>
    <w:rsid w:val="00026F0C"/>
    <w:rsid w:val="00032725"/>
    <w:rsid w:val="00034A88"/>
    <w:rsid w:val="0003538C"/>
    <w:rsid w:val="000360A5"/>
    <w:rsid w:val="00036AC3"/>
    <w:rsid w:val="000370AC"/>
    <w:rsid w:val="00037877"/>
    <w:rsid w:val="00043453"/>
    <w:rsid w:val="000438AC"/>
    <w:rsid w:val="00044327"/>
    <w:rsid w:val="000449BD"/>
    <w:rsid w:val="00045B2E"/>
    <w:rsid w:val="00047B90"/>
    <w:rsid w:val="00047DC1"/>
    <w:rsid w:val="0005331F"/>
    <w:rsid w:val="00053327"/>
    <w:rsid w:val="00053D3B"/>
    <w:rsid w:val="0005472D"/>
    <w:rsid w:val="00056883"/>
    <w:rsid w:val="00056D26"/>
    <w:rsid w:val="00062116"/>
    <w:rsid w:val="00062F4B"/>
    <w:rsid w:val="00063247"/>
    <w:rsid w:val="00063E76"/>
    <w:rsid w:val="00064905"/>
    <w:rsid w:val="00066D10"/>
    <w:rsid w:val="00066E77"/>
    <w:rsid w:val="00073B6C"/>
    <w:rsid w:val="00074A04"/>
    <w:rsid w:val="00074C82"/>
    <w:rsid w:val="000826DA"/>
    <w:rsid w:val="00082B81"/>
    <w:rsid w:val="00083A07"/>
    <w:rsid w:val="00083A62"/>
    <w:rsid w:val="00084615"/>
    <w:rsid w:val="00090053"/>
    <w:rsid w:val="0009142A"/>
    <w:rsid w:val="000932BC"/>
    <w:rsid w:val="000942FF"/>
    <w:rsid w:val="00094569"/>
    <w:rsid w:val="00095182"/>
    <w:rsid w:val="0009777D"/>
    <w:rsid w:val="00097A80"/>
    <w:rsid w:val="00097BE0"/>
    <w:rsid w:val="000A4B27"/>
    <w:rsid w:val="000A4D01"/>
    <w:rsid w:val="000A6497"/>
    <w:rsid w:val="000A74E0"/>
    <w:rsid w:val="000B0625"/>
    <w:rsid w:val="000B1B72"/>
    <w:rsid w:val="000B2F9E"/>
    <w:rsid w:val="000B366A"/>
    <w:rsid w:val="000B3B01"/>
    <w:rsid w:val="000B7CE0"/>
    <w:rsid w:val="000C2D68"/>
    <w:rsid w:val="000C7F4B"/>
    <w:rsid w:val="000D0207"/>
    <w:rsid w:val="000D139D"/>
    <w:rsid w:val="000D2D7C"/>
    <w:rsid w:val="000D41B4"/>
    <w:rsid w:val="000D43C4"/>
    <w:rsid w:val="000D480F"/>
    <w:rsid w:val="000D4A10"/>
    <w:rsid w:val="000D5809"/>
    <w:rsid w:val="000D745E"/>
    <w:rsid w:val="000E0277"/>
    <w:rsid w:val="000E3A55"/>
    <w:rsid w:val="000E428D"/>
    <w:rsid w:val="000E4693"/>
    <w:rsid w:val="000E68F2"/>
    <w:rsid w:val="000E7877"/>
    <w:rsid w:val="000F09BD"/>
    <w:rsid w:val="000F20AD"/>
    <w:rsid w:val="000F23F8"/>
    <w:rsid w:val="000F3A3A"/>
    <w:rsid w:val="000F4371"/>
    <w:rsid w:val="000F61BB"/>
    <w:rsid w:val="000F7012"/>
    <w:rsid w:val="000F795F"/>
    <w:rsid w:val="001004F1"/>
    <w:rsid w:val="0010143D"/>
    <w:rsid w:val="001017D9"/>
    <w:rsid w:val="00101F8E"/>
    <w:rsid w:val="00104C2D"/>
    <w:rsid w:val="00106E21"/>
    <w:rsid w:val="00113E62"/>
    <w:rsid w:val="001149CD"/>
    <w:rsid w:val="00114B19"/>
    <w:rsid w:val="00115FB9"/>
    <w:rsid w:val="0011607D"/>
    <w:rsid w:val="001172B6"/>
    <w:rsid w:val="0012220E"/>
    <w:rsid w:val="001250A6"/>
    <w:rsid w:val="00126DE9"/>
    <w:rsid w:val="001277A3"/>
    <w:rsid w:val="00127BD1"/>
    <w:rsid w:val="001301C2"/>
    <w:rsid w:val="00130745"/>
    <w:rsid w:val="00136CAB"/>
    <w:rsid w:val="00140E8D"/>
    <w:rsid w:val="00143B1E"/>
    <w:rsid w:val="00146321"/>
    <w:rsid w:val="00147A39"/>
    <w:rsid w:val="00147D90"/>
    <w:rsid w:val="00152221"/>
    <w:rsid w:val="00155B8E"/>
    <w:rsid w:val="00157CCA"/>
    <w:rsid w:val="00163093"/>
    <w:rsid w:val="0016374F"/>
    <w:rsid w:val="00164D1D"/>
    <w:rsid w:val="00167449"/>
    <w:rsid w:val="0017087C"/>
    <w:rsid w:val="00170AB5"/>
    <w:rsid w:val="0017108D"/>
    <w:rsid w:val="00172123"/>
    <w:rsid w:val="0017342B"/>
    <w:rsid w:val="00173B2C"/>
    <w:rsid w:val="00175601"/>
    <w:rsid w:val="00181144"/>
    <w:rsid w:val="001844F1"/>
    <w:rsid w:val="0018648C"/>
    <w:rsid w:val="00186ED1"/>
    <w:rsid w:val="00190B96"/>
    <w:rsid w:val="0019144C"/>
    <w:rsid w:val="00192748"/>
    <w:rsid w:val="0019331C"/>
    <w:rsid w:val="00194500"/>
    <w:rsid w:val="00194B21"/>
    <w:rsid w:val="001953BA"/>
    <w:rsid w:val="001956C0"/>
    <w:rsid w:val="001972E4"/>
    <w:rsid w:val="001A378B"/>
    <w:rsid w:val="001A4EDD"/>
    <w:rsid w:val="001B01B8"/>
    <w:rsid w:val="001B0FC0"/>
    <w:rsid w:val="001B1E2E"/>
    <w:rsid w:val="001C0A8C"/>
    <w:rsid w:val="001C461B"/>
    <w:rsid w:val="001C582D"/>
    <w:rsid w:val="001C7CA8"/>
    <w:rsid w:val="001D131D"/>
    <w:rsid w:val="001D2E02"/>
    <w:rsid w:val="001D2F7E"/>
    <w:rsid w:val="001D4C6E"/>
    <w:rsid w:val="001E0528"/>
    <w:rsid w:val="001E0D6E"/>
    <w:rsid w:val="001E2A77"/>
    <w:rsid w:val="001E2AF2"/>
    <w:rsid w:val="001E450A"/>
    <w:rsid w:val="001E55C0"/>
    <w:rsid w:val="001E5DDF"/>
    <w:rsid w:val="001E63A1"/>
    <w:rsid w:val="001F52E9"/>
    <w:rsid w:val="0020320F"/>
    <w:rsid w:val="00203B21"/>
    <w:rsid w:val="00207197"/>
    <w:rsid w:val="00212B3C"/>
    <w:rsid w:val="00212C26"/>
    <w:rsid w:val="00213A26"/>
    <w:rsid w:val="002143D4"/>
    <w:rsid w:val="002153EF"/>
    <w:rsid w:val="00217217"/>
    <w:rsid w:val="002177D1"/>
    <w:rsid w:val="0022124C"/>
    <w:rsid w:val="00221F25"/>
    <w:rsid w:val="00222489"/>
    <w:rsid w:val="00222540"/>
    <w:rsid w:val="00222AD0"/>
    <w:rsid w:val="00224CC4"/>
    <w:rsid w:val="0022577B"/>
    <w:rsid w:val="0022638B"/>
    <w:rsid w:val="00226514"/>
    <w:rsid w:val="0022759D"/>
    <w:rsid w:val="0023281A"/>
    <w:rsid w:val="00233519"/>
    <w:rsid w:val="002346EA"/>
    <w:rsid w:val="00234D88"/>
    <w:rsid w:val="00236E8A"/>
    <w:rsid w:val="0024242F"/>
    <w:rsid w:val="00242EAF"/>
    <w:rsid w:val="00243F2B"/>
    <w:rsid w:val="00247D4E"/>
    <w:rsid w:val="00250B59"/>
    <w:rsid w:val="00252EC9"/>
    <w:rsid w:val="00256ABE"/>
    <w:rsid w:val="0026085E"/>
    <w:rsid w:val="00261E10"/>
    <w:rsid w:val="00263EE3"/>
    <w:rsid w:val="002649D8"/>
    <w:rsid w:val="00264DF4"/>
    <w:rsid w:val="00265E8B"/>
    <w:rsid w:val="00266FBB"/>
    <w:rsid w:val="002700B0"/>
    <w:rsid w:val="00270629"/>
    <w:rsid w:val="00271B93"/>
    <w:rsid w:val="0027215D"/>
    <w:rsid w:val="002721F2"/>
    <w:rsid w:val="0027453C"/>
    <w:rsid w:val="002745B3"/>
    <w:rsid w:val="00274F69"/>
    <w:rsid w:val="00275545"/>
    <w:rsid w:val="00280065"/>
    <w:rsid w:val="00280897"/>
    <w:rsid w:val="00282709"/>
    <w:rsid w:val="00282A14"/>
    <w:rsid w:val="00282C7A"/>
    <w:rsid w:val="00284AB9"/>
    <w:rsid w:val="00286059"/>
    <w:rsid w:val="0028740C"/>
    <w:rsid w:val="0028788A"/>
    <w:rsid w:val="00291ABA"/>
    <w:rsid w:val="00292229"/>
    <w:rsid w:val="002945B8"/>
    <w:rsid w:val="002967D2"/>
    <w:rsid w:val="002A2231"/>
    <w:rsid w:val="002A3076"/>
    <w:rsid w:val="002A7BD7"/>
    <w:rsid w:val="002B1B68"/>
    <w:rsid w:val="002B2626"/>
    <w:rsid w:val="002B2EA7"/>
    <w:rsid w:val="002B32FC"/>
    <w:rsid w:val="002B6D92"/>
    <w:rsid w:val="002B6F61"/>
    <w:rsid w:val="002B724F"/>
    <w:rsid w:val="002B7847"/>
    <w:rsid w:val="002C4926"/>
    <w:rsid w:val="002C76D7"/>
    <w:rsid w:val="002D0300"/>
    <w:rsid w:val="002D2BA7"/>
    <w:rsid w:val="002D3370"/>
    <w:rsid w:val="002D441F"/>
    <w:rsid w:val="002D5F8D"/>
    <w:rsid w:val="002E0B7C"/>
    <w:rsid w:val="002E0C1F"/>
    <w:rsid w:val="002E10FE"/>
    <w:rsid w:val="002E17D2"/>
    <w:rsid w:val="002E2EE3"/>
    <w:rsid w:val="002E31B3"/>
    <w:rsid w:val="002E7337"/>
    <w:rsid w:val="002E7FED"/>
    <w:rsid w:val="002F63A5"/>
    <w:rsid w:val="0030080A"/>
    <w:rsid w:val="0030113C"/>
    <w:rsid w:val="00301460"/>
    <w:rsid w:val="00302E3F"/>
    <w:rsid w:val="00303C68"/>
    <w:rsid w:val="003061A6"/>
    <w:rsid w:val="00306262"/>
    <w:rsid w:val="00310AD7"/>
    <w:rsid w:val="00311CFB"/>
    <w:rsid w:val="00311EF4"/>
    <w:rsid w:val="00317A96"/>
    <w:rsid w:val="00317DF3"/>
    <w:rsid w:val="00320943"/>
    <w:rsid w:val="00321C17"/>
    <w:rsid w:val="00322FC4"/>
    <w:rsid w:val="0032320B"/>
    <w:rsid w:val="0032537B"/>
    <w:rsid w:val="003264E8"/>
    <w:rsid w:val="00327AAD"/>
    <w:rsid w:val="00330712"/>
    <w:rsid w:val="00331230"/>
    <w:rsid w:val="00331751"/>
    <w:rsid w:val="003321B4"/>
    <w:rsid w:val="00335C54"/>
    <w:rsid w:val="00337616"/>
    <w:rsid w:val="0033794E"/>
    <w:rsid w:val="0034005D"/>
    <w:rsid w:val="003401D0"/>
    <w:rsid w:val="003404B6"/>
    <w:rsid w:val="00340BF2"/>
    <w:rsid w:val="00340E05"/>
    <w:rsid w:val="00343F98"/>
    <w:rsid w:val="00344A74"/>
    <w:rsid w:val="00344EF1"/>
    <w:rsid w:val="0034755B"/>
    <w:rsid w:val="003503B2"/>
    <w:rsid w:val="00350540"/>
    <w:rsid w:val="00354409"/>
    <w:rsid w:val="00356D5E"/>
    <w:rsid w:val="00357B2B"/>
    <w:rsid w:val="003617D9"/>
    <w:rsid w:val="00362889"/>
    <w:rsid w:val="00362AB2"/>
    <w:rsid w:val="003641C8"/>
    <w:rsid w:val="00365268"/>
    <w:rsid w:val="003654D6"/>
    <w:rsid w:val="003656A2"/>
    <w:rsid w:val="00366991"/>
    <w:rsid w:val="003676B8"/>
    <w:rsid w:val="00367D0E"/>
    <w:rsid w:val="00367EC0"/>
    <w:rsid w:val="00372F5D"/>
    <w:rsid w:val="00373A4A"/>
    <w:rsid w:val="003770B1"/>
    <w:rsid w:val="00377231"/>
    <w:rsid w:val="003800F4"/>
    <w:rsid w:val="003817F6"/>
    <w:rsid w:val="00382578"/>
    <w:rsid w:val="00383401"/>
    <w:rsid w:val="00384110"/>
    <w:rsid w:val="003854CD"/>
    <w:rsid w:val="003868AE"/>
    <w:rsid w:val="0038747B"/>
    <w:rsid w:val="003902D0"/>
    <w:rsid w:val="00390E52"/>
    <w:rsid w:val="003922B4"/>
    <w:rsid w:val="00392B33"/>
    <w:rsid w:val="00392D03"/>
    <w:rsid w:val="00392EFB"/>
    <w:rsid w:val="00393BCA"/>
    <w:rsid w:val="003941D3"/>
    <w:rsid w:val="00394FCE"/>
    <w:rsid w:val="00395F18"/>
    <w:rsid w:val="003964F2"/>
    <w:rsid w:val="003A035C"/>
    <w:rsid w:val="003A1AF0"/>
    <w:rsid w:val="003A3370"/>
    <w:rsid w:val="003A573A"/>
    <w:rsid w:val="003A661B"/>
    <w:rsid w:val="003A734F"/>
    <w:rsid w:val="003A7AD4"/>
    <w:rsid w:val="003B0183"/>
    <w:rsid w:val="003B0D38"/>
    <w:rsid w:val="003B50AC"/>
    <w:rsid w:val="003B5521"/>
    <w:rsid w:val="003B594F"/>
    <w:rsid w:val="003B7DB8"/>
    <w:rsid w:val="003C036F"/>
    <w:rsid w:val="003C0A67"/>
    <w:rsid w:val="003C0CAC"/>
    <w:rsid w:val="003C2398"/>
    <w:rsid w:val="003C25A8"/>
    <w:rsid w:val="003C5406"/>
    <w:rsid w:val="003C6103"/>
    <w:rsid w:val="003D1FE2"/>
    <w:rsid w:val="003D2DDC"/>
    <w:rsid w:val="003D3500"/>
    <w:rsid w:val="003D639D"/>
    <w:rsid w:val="003E04EE"/>
    <w:rsid w:val="003E0D18"/>
    <w:rsid w:val="003E37D2"/>
    <w:rsid w:val="003E58F0"/>
    <w:rsid w:val="003E7011"/>
    <w:rsid w:val="003E7117"/>
    <w:rsid w:val="003F38E5"/>
    <w:rsid w:val="003F3D2D"/>
    <w:rsid w:val="003F4367"/>
    <w:rsid w:val="003F4398"/>
    <w:rsid w:val="003F49CB"/>
    <w:rsid w:val="003F57D8"/>
    <w:rsid w:val="0040093C"/>
    <w:rsid w:val="0040101E"/>
    <w:rsid w:val="0040277E"/>
    <w:rsid w:val="00410851"/>
    <w:rsid w:val="004115CB"/>
    <w:rsid w:val="00414081"/>
    <w:rsid w:val="004165A5"/>
    <w:rsid w:val="00417CF9"/>
    <w:rsid w:val="004200EE"/>
    <w:rsid w:val="00420753"/>
    <w:rsid w:val="004211FF"/>
    <w:rsid w:val="00421822"/>
    <w:rsid w:val="00423478"/>
    <w:rsid w:val="00424E6A"/>
    <w:rsid w:val="00425CB0"/>
    <w:rsid w:val="00426052"/>
    <w:rsid w:val="0042699A"/>
    <w:rsid w:val="00430B9F"/>
    <w:rsid w:val="00433812"/>
    <w:rsid w:val="004361F8"/>
    <w:rsid w:val="0043759E"/>
    <w:rsid w:val="00437CEA"/>
    <w:rsid w:val="00442122"/>
    <w:rsid w:val="004430D2"/>
    <w:rsid w:val="00443E75"/>
    <w:rsid w:val="00446CF0"/>
    <w:rsid w:val="0044705E"/>
    <w:rsid w:val="004475FB"/>
    <w:rsid w:val="0045019E"/>
    <w:rsid w:val="00451423"/>
    <w:rsid w:val="00460A79"/>
    <w:rsid w:val="00460B22"/>
    <w:rsid w:val="00461111"/>
    <w:rsid w:val="00461519"/>
    <w:rsid w:val="00463AAC"/>
    <w:rsid w:val="004647E4"/>
    <w:rsid w:val="00464D9F"/>
    <w:rsid w:val="0046547F"/>
    <w:rsid w:val="00465960"/>
    <w:rsid w:val="00470603"/>
    <w:rsid w:val="00470FF0"/>
    <w:rsid w:val="00473313"/>
    <w:rsid w:val="00480C49"/>
    <w:rsid w:val="004811F8"/>
    <w:rsid w:val="004819E7"/>
    <w:rsid w:val="004862B7"/>
    <w:rsid w:val="0048681D"/>
    <w:rsid w:val="00490416"/>
    <w:rsid w:val="00490ECE"/>
    <w:rsid w:val="004920F2"/>
    <w:rsid w:val="004922E2"/>
    <w:rsid w:val="004928EF"/>
    <w:rsid w:val="00493485"/>
    <w:rsid w:val="00495239"/>
    <w:rsid w:val="00495C5A"/>
    <w:rsid w:val="00495CAB"/>
    <w:rsid w:val="00495D94"/>
    <w:rsid w:val="004A0D30"/>
    <w:rsid w:val="004A0D75"/>
    <w:rsid w:val="004A12D7"/>
    <w:rsid w:val="004A23FC"/>
    <w:rsid w:val="004A2C4C"/>
    <w:rsid w:val="004A3728"/>
    <w:rsid w:val="004A669D"/>
    <w:rsid w:val="004A7592"/>
    <w:rsid w:val="004A7719"/>
    <w:rsid w:val="004B103F"/>
    <w:rsid w:val="004B1CDF"/>
    <w:rsid w:val="004B1F22"/>
    <w:rsid w:val="004B54DF"/>
    <w:rsid w:val="004C0404"/>
    <w:rsid w:val="004C0B3C"/>
    <w:rsid w:val="004C19F6"/>
    <w:rsid w:val="004C25F4"/>
    <w:rsid w:val="004D2382"/>
    <w:rsid w:val="004D2855"/>
    <w:rsid w:val="004D6237"/>
    <w:rsid w:val="004E010E"/>
    <w:rsid w:val="004E0A92"/>
    <w:rsid w:val="004E2978"/>
    <w:rsid w:val="004E450A"/>
    <w:rsid w:val="004E5456"/>
    <w:rsid w:val="004E7732"/>
    <w:rsid w:val="004E78D0"/>
    <w:rsid w:val="004F092D"/>
    <w:rsid w:val="004F3CA5"/>
    <w:rsid w:val="004F57A3"/>
    <w:rsid w:val="004F6BE5"/>
    <w:rsid w:val="004F77D7"/>
    <w:rsid w:val="005021D2"/>
    <w:rsid w:val="00504723"/>
    <w:rsid w:val="005049BC"/>
    <w:rsid w:val="00507816"/>
    <w:rsid w:val="00507907"/>
    <w:rsid w:val="00510A3F"/>
    <w:rsid w:val="00510CAB"/>
    <w:rsid w:val="00512087"/>
    <w:rsid w:val="005145BD"/>
    <w:rsid w:val="00514897"/>
    <w:rsid w:val="0051685F"/>
    <w:rsid w:val="00520574"/>
    <w:rsid w:val="00522596"/>
    <w:rsid w:val="005229E7"/>
    <w:rsid w:val="00522F4E"/>
    <w:rsid w:val="00524A7F"/>
    <w:rsid w:val="005300C3"/>
    <w:rsid w:val="00531E71"/>
    <w:rsid w:val="005340DB"/>
    <w:rsid w:val="005345BB"/>
    <w:rsid w:val="0053474F"/>
    <w:rsid w:val="00537008"/>
    <w:rsid w:val="005408EE"/>
    <w:rsid w:val="005413BD"/>
    <w:rsid w:val="00542508"/>
    <w:rsid w:val="00542B2E"/>
    <w:rsid w:val="00543C2A"/>
    <w:rsid w:val="005448AC"/>
    <w:rsid w:val="00546309"/>
    <w:rsid w:val="00547A20"/>
    <w:rsid w:val="00551061"/>
    <w:rsid w:val="0055189E"/>
    <w:rsid w:val="00551BFD"/>
    <w:rsid w:val="00551CC6"/>
    <w:rsid w:val="00552D8E"/>
    <w:rsid w:val="0055496C"/>
    <w:rsid w:val="00554D74"/>
    <w:rsid w:val="00554F66"/>
    <w:rsid w:val="005603DA"/>
    <w:rsid w:val="00561AF9"/>
    <w:rsid w:val="00561C12"/>
    <w:rsid w:val="00562F81"/>
    <w:rsid w:val="00564649"/>
    <w:rsid w:val="005648B7"/>
    <w:rsid w:val="00565830"/>
    <w:rsid w:val="005663B7"/>
    <w:rsid w:val="005702EA"/>
    <w:rsid w:val="00571538"/>
    <w:rsid w:val="00573A34"/>
    <w:rsid w:val="00574F7E"/>
    <w:rsid w:val="005811A2"/>
    <w:rsid w:val="005820CC"/>
    <w:rsid w:val="00582F06"/>
    <w:rsid w:val="0058456F"/>
    <w:rsid w:val="00586B34"/>
    <w:rsid w:val="005873B9"/>
    <w:rsid w:val="00587747"/>
    <w:rsid w:val="00587773"/>
    <w:rsid w:val="00590961"/>
    <w:rsid w:val="00591AFA"/>
    <w:rsid w:val="00591C36"/>
    <w:rsid w:val="00591CC0"/>
    <w:rsid w:val="00591D85"/>
    <w:rsid w:val="0059490A"/>
    <w:rsid w:val="00595A77"/>
    <w:rsid w:val="00596DB8"/>
    <w:rsid w:val="005979A1"/>
    <w:rsid w:val="005A0D9A"/>
    <w:rsid w:val="005A5C8B"/>
    <w:rsid w:val="005A6A2D"/>
    <w:rsid w:val="005B1F73"/>
    <w:rsid w:val="005B35E2"/>
    <w:rsid w:val="005B4ACC"/>
    <w:rsid w:val="005B6817"/>
    <w:rsid w:val="005C18E3"/>
    <w:rsid w:val="005C1CED"/>
    <w:rsid w:val="005C1D90"/>
    <w:rsid w:val="005C2623"/>
    <w:rsid w:val="005C4281"/>
    <w:rsid w:val="005C4410"/>
    <w:rsid w:val="005C54D2"/>
    <w:rsid w:val="005C5BDB"/>
    <w:rsid w:val="005D054D"/>
    <w:rsid w:val="005D1154"/>
    <w:rsid w:val="005D11AB"/>
    <w:rsid w:val="005D251A"/>
    <w:rsid w:val="005D3251"/>
    <w:rsid w:val="005D4D40"/>
    <w:rsid w:val="005D4D81"/>
    <w:rsid w:val="005D4E76"/>
    <w:rsid w:val="005D7678"/>
    <w:rsid w:val="005E21FB"/>
    <w:rsid w:val="005E2694"/>
    <w:rsid w:val="005E2F1F"/>
    <w:rsid w:val="005E5607"/>
    <w:rsid w:val="005E5A74"/>
    <w:rsid w:val="005E7947"/>
    <w:rsid w:val="005F0D6E"/>
    <w:rsid w:val="005F35D9"/>
    <w:rsid w:val="005F364C"/>
    <w:rsid w:val="005F4776"/>
    <w:rsid w:val="005F4F43"/>
    <w:rsid w:val="005F55DC"/>
    <w:rsid w:val="005F5B85"/>
    <w:rsid w:val="005F7D7A"/>
    <w:rsid w:val="005F7EB5"/>
    <w:rsid w:val="0060132E"/>
    <w:rsid w:val="006025FB"/>
    <w:rsid w:val="006026B7"/>
    <w:rsid w:val="00603C00"/>
    <w:rsid w:val="00604AEA"/>
    <w:rsid w:val="006108FF"/>
    <w:rsid w:val="00611D41"/>
    <w:rsid w:val="00612057"/>
    <w:rsid w:val="00613F39"/>
    <w:rsid w:val="0061754C"/>
    <w:rsid w:val="006176A2"/>
    <w:rsid w:val="00620A2F"/>
    <w:rsid w:val="006226A7"/>
    <w:rsid w:val="006226F2"/>
    <w:rsid w:val="00622DE1"/>
    <w:rsid w:val="00625981"/>
    <w:rsid w:val="006279D3"/>
    <w:rsid w:val="00630776"/>
    <w:rsid w:val="006323D9"/>
    <w:rsid w:val="00632DB7"/>
    <w:rsid w:val="00633407"/>
    <w:rsid w:val="00633DAE"/>
    <w:rsid w:val="00634B89"/>
    <w:rsid w:val="00634E2D"/>
    <w:rsid w:val="00634E3A"/>
    <w:rsid w:val="00635555"/>
    <w:rsid w:val="00636B46"/>
    <w:rsid w:val="006371F4"/>
    <w:rsid w:val="00637480"/>
    <w:rsid w:val="00637C9B"/>
    <w:rsid w:val="00637CF1"/>
    <w:rsid w:val="00640B33"/>
    <w:rsid w:val="00643A4C"/>
    <w:rsid w:val="00644066"/>
    <w:rsid w:val="00644419"/>
    <w:rsid w:val="006455B8"/>
    <w:rsid w:val="00645A7A"/>
    <w:rsid w:val="00645FC2"/>
    <w:rsid w:val="00646144"/>
    <w:rsid w:val="0064693E"/>
    <w:rsid w:val="00647A31"/>
    <w:rsid w:val="00652CC4"/>
    <w:rsid w:val="006544F8"/>
    <w:rsid w:val="00656F3D"/>
    <w:rsid w:val="00663B7E"/>
    <w:rsid w:val="00664AA4"/>
    <w:rsid w:val="00664EFF"/>
    <w:rsid w:val="00667C30"/>
    <w:rsid w:val="006755AB"/>
    <w:rsid w:val="00676890"/>
    <w:rsid w:val="00677EB5"/>
    <w:rsid w:val="00680806"/>
    <w:rsid w:val="00680E03"/>
    <w:rsid w:val="00682D89"/>
    <w:rsid w:val="00683D4C"/>
    <w:rsid w:val="00684088"/>
    <w:rsid w:val="006855CB"/>
    <w:rsid w:val="006863A0"/>
    <w:rsid w:val="0068678A"/>
    <w:rsid w:val="00686FC8"/>
    <w:rsid w:val="00687602"/>
    <w:rsid w:val="00692025"/>
    <w:rsid w:val="00692ACC"/>
    <w:rsid w:val="00694525"/>
    <w:rsid w:val="00694D56"/>
    <w:rsid w:val="006A01E2"/>
    <w:rsid w:val="006A2119"/>
    <w:rsid w:val="006A2DB9"/>
    <w:rsid w:val="006A3BA2"/>
    <w:rsid w:val="006A4C00"/>
    <w:rsid w:val="006A5260"/>
    <w:rsid w:val="006A56A8"/>
    <w:rsid w:val="006A666D"/>
    <w:rsid w:val="006A6F4D"/>
    <w:rsid w:val="006B0AEE"/>
    <w:rsid w:val="006B27AB"/>
    <w:rsid w:val="006B46A6"/>
    <w:rsid w:val="006B4B7C"/>
    <w:rsid w:val="006B581A"/>
    <w:rsid w:val="006B6197"/>
    <w:rsid w:val="006B6DA4"/>
    <w:rsid w:val="006C04A5"/>
    <w:rsid w:val="006C1C7A"/>
    <w:rsid w:val="006C497B"/>
    <w:rsid w:val="006C53C0"/>
    <w:rsid w:val="006C5E7D"/>
    <w:rsid w:val="006C7765"/>
    <w:rsid w:val="006D2B11"/>
    <w:rsid w:val="006D334A"/>
    <w:rsid w:val="006D42EB"/>
    <w:rsid w:val="006D50DA"/>
    <w:rsid w:val="006D52BB"/>
    <w:rsid w:val="006D5655"/>
    <w:rsid w:val="006D6841"/>
    <w:rsid w:val="006D764E"/>
    <w:rsid w:val="006D7663"/>
    <w:rsid w:val="006E1AC6"/>
    <w:rsid w:val="006E2179"/>
    <w:rsid w:val="006E3911"/>
    <w:rsid w:val="006E771A"/>
    <w:rsid w:val="006E7EBC"/>
    <w:rsid w:val="006F0477"/>
    <w:rsid w:val="006F22CD"/>
    <w:rsid w:val="006F3C9D"/>
    <w:rsid w:val="006F4D53"/>
    <w:rsid w:val="006F773E"/>
    <w:rsid w:val="00700C2B"/>
    <w:rsid w:val="00701B16"/>
    <w:rsid w:val="007029FF"/>
    <w:rsid w:val="00702D68"/>
    <w:rsid w:val="00705487"/>
    <w:rsid w:val="007058C8"/>
    <w:rsid w:val="00706135"/>
    <w:rsid w:val="007076FA"/>
    <w:rsid w:val="00707977"/>
    <w:rsid w:val="00710A60"/>
    <w:rsid w:val="007116A9"/>
    <w:rsid w:val="00711A16"/>
    <w:rsid w:val="007121A4"/>
    <w:rsid w:val="0071578E"/>
    <w:rsid w:val="00716910"/>
    <w:rsid w:val="00720517"/>
    <w:rsid w:val="007209F7"/>
    <w:rsid w:val="00720B9D"/>
    <w:rsid w:val="00720E88"/>
    <w:rsid w:val="00721AAC"/>
    <w:rsid w:val="00721CBB"/>
    <w:rsid w:val="00723FD5"/>
    <w:rsid w:val="007242F1"/>
    <w:rsid w:val="007254B9"/>
    <w:rsid w:val="007260FE"/>
    <w:rsid w:val="00726403"/>
    <w:rsid w:val="0073089D"/>
    <w:rsid w:val="00731903"/>
    <w:rsid w:val="00731AEE"/>
    <w:rsid w:val="00731BD3"/>
    <w:rsid w:val="00734626"/>
    <w:rsid w:val="00734813"/>
    <w:rsid w:val="007353D4"/>
    <w:rsid w:val="00737394"/>
    <w:rsid w:val="0073757C"/>
    <w:rsid w:val="00740611"/>
    <w:rsid w:val="00740A4F"/>
    <w:rsid w:val="00740A5C"/>
    <w:rsid w:val="00741065"/>
    <w:rsid w:val="007421B5"/>
    <w:rsid w:val="007444D2"/>
    <w:rsid w:val="00745583"/>
    <w:rsid w:val="00746613"/>
    <w:rsid w:val="00747814"/>
    <w:rsid w:val="00751CEB"/>
    <w:rsid w:val="00752E8D"/>
    <w:rsid w:val="00753759"/>
    <w:rsid w:val="007542DA"/>
    <w:rsid w:val="007547AE"/>
    <w:rsid w:val="00756E9C"/>
    <w:rsid w:val="007605A6"/>
    <w:rsid w:val="007611B9"/>
    <w:rsid w:val="007619C5"/>
    <w:rsid w:val="00763B6E"/>
    <w:rsid w:val="00764B69"/>
    <w:rsid w:val="007673C5"/>
    <w:rsid w:val="0076796F"/>
    <w:rsid w:val="007702C7"/>
    <w:rsid w:val="00771DB8"/>
    <w:rsid w:val="007724E4"/>
    <w:rsid w:val="007728D1"/>
    <w:rsid w:val="00772BDC"/>
    <w:rsid w:val="0077477E"/>
    <w:rsid w:val="00776411"/>
    <w:rsid w:val="0077674C"/>
    <w:rsid w:val="00781268"/>
    <w:rsid w:val="00781686"/>
    <w:rsid w:val="00781E5F"/>
    <w:rsid w:val="00782BEC"/>
    <w:rsid w:val="00782E7A"/>
    <w:rsid w:val="00784A8E"/>
    <w:rsid w:val="00784D2D"/>
    <w:rsid w:val="0079119E"/>
    <w:rsid w:val="00792B64"/>
    <w:rsid w:val="00795078"/>
    <w:rsid w:val="00795991"/>
    <w:rsid w:val="007973FD"/>
    <w:rsid w:val="00797E1F"/>
    <w:rsid w:val="007A08FC"/>
    <w:rsid w:val="007A0C4A"/>
    <w:rsid w:val="007A0FD1"/>
    <w:rsid w:val="007A192D"/>
    <w:rsid w:val="007A20B0"/>
    <w:rsid w:val="007A26FC"/>
    <w:rsid w:val="007A2F29"/>
    <w:rsid w:val="007A4A5E"/>
    <w:rsid w:val="007A5FED"/>
    <w:rsid w:val="007A62CC"/>
    <w:rsid w:val="007B01D6"/>
    <w:rsid w:val="007B0DC1"/>
    <w:rsid w:val="007B2840"/>
    <w:rsid w:val="007B40CD"/>
    <w:rsid w:val="007B4461"/>
    <w:rsid w:val="007B46F9"/>
    <w:rsid w:val="007B6CBC"/>
    <w:rsid w:val="007B7300"/>
    <w:rsid w:val="007B7C59"/>
    <w:rsid w:val="007C02B1"/>
    <w:rsid w:val="007C2867"/>
    <w:rsid w:val="007C674E"/>
    <w:rsid w:val="007C7305"/>
    <w:rsid w:val="007D0F5B"/>
    <w:rsid w:val="007D2867"/>
    <w:rsid w:val="007D3DCD"/>
    <w:rsid w:val="007D4317"/>
    <w:rsid w:val="007D6676"/>
    <w:rsid w:val="007D7839"/>
    <w:rsid w:val="007E02C5"/>
    <w:rsid w:val="007E0F05"/>
    <w:rsid w:val="007E1E6C"/>
    <w:rsid w:val="007E232B"/>
    <w:rsid w:val="007E2F14"/>
    <w:rsid w:val="007E4AD7"/>
    <w:rsid w:val="007E5E12"/>
    <w:rsid w:val="007E5E35"/>
    <w:rsid w:val="007E643B"/>
    <w:rsid w:val="007F032B"/>
    <w:rsid w:val="007F1089"/>
    <w:rsid w:val="007F1926"/>
    <w:rsid w:val="007F46A8"/>
    <w:rsid w:val="007F6233"/>
    <w:rsid w:val="00800298"/>
    <w:rsid w:val="00801D7C"/>
    <w:rsid w:val="00801E74"/>
    <w:rsid w:val="00803A1F"/>
    <w:rsid w:val="00804C6C"/>
    <w:rsid w:val="00805AFC"/>
    <w:rsid w:val="00810C8C"/>
    <w:rsid w:val="00815259"/>
    <w:rsid w:val="00815981"/>
    <w:rsid w:val="008209FA"/>
    <w:rsid w:val="00820E5C"/>
    <w:rsid w:val="00822624"/>
    <w:rsid w:val="00822CD8"/>
    <w:rsid w:val="0082338E"/>
    <w:rsid w:val="008244C3"/>
    <w:rsid w:val="0083061F"/>
    <w:rsid w:val="00830A0D"/>
    <w:rsid w:val="00832BAA"/>
    <w:rsid w:val="00833994"/>
    <w:rsid w:val="00837D1F"/>
    <w:rsid w:val="008459A7"/>
    <w:rsid w:val="008525C7"/>
    <w:rsid w:val="008530A7"/>
    <w:rsid w:val="008538C0"/>
    <w:rsid w:val="008541CB"/>
    <w:rsid w:val="008556CF"/>
    <w:rsid w:val="00857A5E"/>
    <w:rsid w:val="00863AE6"/>
    <w:rsid w:val="00865454"/>
    <w:rsid w:val="00867297"/>
    <w:rsid w:val="00867C08"/>
    <w:rsid w:val="008710D0"/>
    <w:rsid w:val="00872262"/>
    <w:rsid w:val="0087265E"/>
    <w:rsid w:val="00872D6B"/>
    <w:rsid w:val="0087312C"/>
    <w:rsid w:val="008737A2"/>
    <w:rsid w:val="00873A14"/>
    <w:rsid w:val="00874C62"/>
    <w:rsid w:val="00882810"/>
    <w:rsid w:val="008839D5"/>
    <w:rsid w:val="0088514D"/>
    <w:rsid w:val="008859AA"/>
    <w:rsid w:val="00887A20"/>
    <w:rsid w:val="00890B69"/>
    <w:rsid w:val="008945C0"/>
    <w:rsid w:val="008A0D3F"/>
    <w:rsid w:val="008A5397"/>
    <w:rsid w:val="008B03BD"/>
    <w:rsid w:val="008B050E"/>
    <w:rsid w:val="008B20DD"/>
    <w:rsid w:val="008B2506"/>
    <w:rsid w:val="008B464A"/>
    <w:rsid w:val="008B6F6C"/>
    <w:rsid w:val="008B730B"/>
    <w:rsid w:val="008B733E"/>
    <w:rsid w:val="008B7746"/>
    <w:rsid w:val="008C1913"/>
    <w:rsid w:val="008C6307"/>
    <w:rsid w:val="008C6E44"/>
    <w:rsid w:val="008C7414"/>
    <w:rsid w:val="008D0685"/>
    <w:rsid w:val="008D0AF2"/>
    <w:rsid w:val="008D1007"/>
    <w:rsid w:val="008D1886"/>
    <w:rsid w:val="008D4375"/>
    <w:rsid w:val="008D54E0"/>
    <w:rsid w:val="008D6812"/>
    <w:rsid w:val="008E0662"/>
    <w:rsid w:val="008E1862"/>
    <w:rsid w:val="008E187D"/>
    <w:rsid w:val="008E197B"/>
    <w:rsid w:val="008E24EA"/>
    <w:rsid w:val="008E2AD5"/>
    <w:rsid w:val="008E7679"/>
    <w:rsid w:val="008F0DA9"/>
    <w:rsid w:val="008F3020"/>
    <w:rsid w:val="008F5505"/>
    <w:rsid w:val="00900891"/>
    <w:rsid w:val="0090649B"/>
    <w:rsid w:val="00907673"/>
    <w:rsid w:val="00907D14"/>
    <w:rsid w:val="00911B9E"/>
    <w:rsid w:val="00914222"/>
    <w:rsid w:val="009146E1"/>
    <w:rsid w:val="00916D86"/>
    <w:rsid w:val="0091733B"/>
    <w:rsid w:val="0092695A"/>
    <w:rsid w:val="00926D3B"/>
    <w:rsid w:val="00932BB3"/>
    <w:rsid w:val="0093487F"/>
    <w:rsid w:val="009359E6"/>
    <w:rsid w:val="009414A3"/>
    <w:rsid w:val="00943EAE"/>
    <w:rsid w:val="00944A0B"/>
    <w:rsid w:val="009463CA"/>
    <w:rsid w:val="009466AD"/>
    <w:rsid w:val="009469C7"/>
    <w:rsid w:val="00946F23"/>
    <w:rsid w:val="00947A4F"/>
    <w:rsid w:val="009508D0"/>
    <w:rsid w:val="00952ABB"/>
    <w:rsid w:val="00953835"/>
    <w:rsid w:val="00953A28"/>
    <w:rsid w:val="009554DF"/>
    <w:rsid w:val="00957773"/>
    <w:rsid w:val="00957EEC"/>
    <w:rsid w:val="0096114C"/>
    <w:rsid w:val="009613DE"/>
    <w:rsid w:val="009640BE"/>
    <w:rsid w:val="00964EA5"/>
    <w:rsid w:val="009671CB"/>
    <w:rsid w:val="00970AA7"/>
    <w:rsid w:val="00971337"/>
    <w:rsid w:val="009714ED"/>
    <w:rsid w:val="00975F30"/>
    <w:rsid w:val="00976F7F"/>
    <w:rsid w:val="00987D1C"/>
    <w:rsid w:val="00992EB4"/>
    <w:rsid w:val="00993B4B"/>
    <w:rsid w:val="0099504A"/>
    <w:rsid w:val="00995FA5"/>
    <w:rsid w:val="009978E7"/>
    <w:rsid w:val="00997A5C"/>
    <w:rsid w:val="009A2E86"/>
    <w:rsid w:val="009A3744"/>
    <w:rsid w:val="009A6439"/>
    <w:rsid w:val="009A64FA"/>
    <w:rsid w:val="009A7E44"/>
    <w:rsid w:val="009A7F32"/>
    <w:rsid w:val="009B3B3A"/>
    <w:rsid w:val="009B44C9"/>
    <w:rsid w:val="009B6110"/>
    <w:rsid w:val="009B725C"/>
    <w:rsid w:val="009C20CE"/>
    <w:rsid w:val="009C20EE"/>
    <w:rsid w:val="009C3E20"/>
    <w:rsid w:val="009C4D82"/>
    <w:rsid w:val="009C4FB2"/>
    <w:rsid w:val="009D3552"/>
    <w:rsid w:val="009D38FC"/>
    <w:rsid w:val="009D3DA7"/>
    <w:rsid w:val="009D4365"/>
    <w:rsid w:val="009D4DD2"/>
    <w:rsid w:val="009D510B"/>
    <w:rsid w:val="009D543C"/>
    <w:rsid w:val="009D6745"/>
    <w:rsid w:val="009D7E41"/>
    <w:rsid w:val="009E003C"/>
    <w:rsid w:val="009E1D88"/>
    <w:rsid w:val="009E463A"/>
    <w:rsid w:val="009E6463"/>
    <w:rsid w:val="009E6F6D"/>
    <w:rsid w:val="009F0A7A"/>
    <w:rsid w:val="009F209B"/>
    <w:rsid w:val="009F242F"/>
    <w:rsid w:val="009F28D8"/>
    <w:rsid w:val="009F2F51"/>
    <w:rsid w:val="009F55A9"/>
    <w:rsid w:val="009F7407"/>
    <w:rsid w:val="009F74D2"/>
    <w:rsid w:val="00A02C25"/>
    <w:rsid w:val="00A0305D"/>
    <w:rsid w:val="00A052D4"/>
    <w:rsid w:val="00A05747"/>
    <w:rsid w:val="00A069BF"/>
    <w:rsid w:val="00A06BF6"/>
    <w:rsid w:val="00A0701E"/>
    <w:rsid w:val="00A12D13"/>
    <w:rsid w:val="00A15EFC"/>
    <w:rsid w:val="00A2038D"/>
    <w:rsid w:val="00A21441"/>
    <w:rsid w:val="00A25A00"/>
    <w:rsid w:val="00A2627A"/>
    <w:rsid w:val="00A263EE"/>
    <w:rsid w:val="00A305C6"/>
    <w:rsid w:val="00A30B94"/>
    <w:rsid w:val="00A31718"/>
    <w:rsid w:val="00A32065"/>
    <w:rsid w:val="00A32525"/>
    <w:rsid w:val="00A341A4"/>
    <w:rsid w:val="00A36876"/>
    <w:rsid w:val="00A36C4D"/>
    <w:rsid w:val="00A40DDF"/>
    <w:rsid w:val="00A4193B"/>
    <w:rsid w:val="00A427A8"/>
    <w:rsid w:val="00A42EEF"/>
    <w:rsid w:val="00A46E80"/>
    <w:rsid w:val="00A46EC7"/>
    <w:rsid w:val="00A478C9"/>
    <w:rsid w:val="00A47AEB"/>
    <w:rsid w:val="00A47E2D"/>
    <w:rsid w:val="00A50155"/>
    <w:rsid w:val="00A50A78"/>
    <w:rsid w:val="00A51CF5"/>
    <w:rsid w:val="00A54CFC"/>
    <w:rsid w:val="00A555E1"/>
    <w:rsid w:val="00A564DB"/>
    <w:rsid w:val="00A6169C"/>
    <w:rsid w:val="00A61A0D"/>
    <w:rsid w:val="00A64B1D"/>
    <w:rsid w:val="00A64FCA"/>
    <w:rsid w:val="00A67105"/>
    <w:rsid w:val="00A70849"/>
    <w:rsid w:val="00A71276"/>
    <w:rsid w:val="00A726A7"/>
    <w:rsid w:val="00A746A6"/>
    <w:rsid w:val="00A7582F"/>
    <w:rsid w:val="00A76B07"/>
    <w:rsid w:val="00A775AE"/>
    <w:rsid w:val="00A85AD5"/>
    <w:rsid w:val="00A86B36"/>
    <w:rsid w:val="00A903A6"/>
    <w:rsid w:val="00A91502"/>
    <w:rsid w:val="00A96319"/>
    <w:rsid w:val="00AA12F8"/>
    <w:rsid w:val="00AA2315"/>
    <w:rsid w:val="00AA3DF0"/>
    <w:rsid w:val="00AA548F"/>
    <w:rsid w:val="00AA58A2"/>
    <w:rsid w:val="00AA7C13"/>
    <w:rsid w:val="00AB08BE"/>
    <w:rsid w:val="00AB09DF"/>
    <w:rsid w:val="00AB327F"/>
    <w:rsid w:val="00AB3D11"/>
    <w:rsid w:val="00AC1E3E"/>
    <w:rsid w:val="00AC2234"/>
    <w:rsid w:val="00AC6ABB"/>
    <w:rsid w:val="00AC7D70"/>
    <w:rsid w:val="00AD03EB"/>
    <w:rsid w:val="00AD0B44"/>
    <w:rsid w:val="00AD3D57"/>
    <w:rsid w:val="00AD412F"/>
    <w:rsid w:val="00AD4A4A"/>
    <w:rsid w:val="00AD5EB4"/>
    <w:rsid w:val="00AD6D1B"/>
    <w:rsid w:val="00AE55EA"/>
    <w:rsid w:val="00AE716A"/>
    <w:rsid w:val="00AE7DEE"/>
    <w:rsid w:val="00AF00CE"/>
    <w:rsid w:val="00AF02DF"/>
    <w:rsid w:val="00AF28BE"/>
    <w:rsid w:val="00AF33AE"/>
    <w:rsid w:val="00AF4515"/>
    <w:rsid w:val="00AF57EE"/>
    <w:rsid w:val="00AF6642"/>
    <w:rsid w:val="00AF75FD"/>
    <w:rsid w:val="00B0068C"/>
    <w:rsid w:val="00B01812"/>
    <w:rsid w:val="00B01C30"/>
    <w:rsid w:val="00B038A3"/>
    <w:rsid w:val="00B03E3B"/>
    <w:rsid w:val="00B04162"/>
    <w:rsid w:val="00B04292"/>
    <w:rsid w:val="00B05CB0"/>
    <w:rsid w:val="00B06124"/>
    <w:rsid w:val="00B069E5"/>
    <w:rsid w:val="00B079BC"/>
    <w:rsid w:val="00B11307"/>
    <w:rsid w:val="00B1242A"/>
    <w:rsid w:val="00B12522"/>
    <w:rsid w:val="00B12ECF"/>
    <w:rsid w:val="00B13FBA"/>
    <w:rsid w:val="00B1401C"/>
    <w:rsid w:val="00B14B90"/>
    <w:rsid w:val="00B16686"/>
    <w:rsid w:val="00B218BA"/>
    <w:rsid w:val="00B23B30"/>
    <w:rsid w:val="00B23B70"/>
    <w:rsid w:val="00B24895"/>
    <w:rsid w:val="00B24E61"/>
    <w:rsid w:val="00B25B3B"/>
    <w:rsid w:val="00B26D15"/>
    <w:rsid w:val="00B30738"/>
    <w:rsid w:val="00B30914"/>
    <w:rsid w:val="00B30A1B"/>
    <w:rsid w:val="00B30C24"/>
    <w:rsid w:val="00B32493"/>
    <w:rsid w:val="00B32D1D"/>
    <w:rsid w:val="00B3310C"/>
    <w:rsid w:val="00B33AE3"/>
    <w:rsid w:val="00B33F19"/>
    <w:rsid w:val="00B343DF"/>
    <w:rsid w:val="00B343E6"/>
    <w:rsid w:val="00B34A4C"/>
    <w:rsid w:val="00B35926"/>
    <w:rsid w:val="00B36A17"/>
    <w:rsid w:val="00B37F8A"/>
    <w:rsid w:val="00B45A2A"/>
    <w:rsid w:val="00B45C9A"/>
    <w:rsid w:val="00B465F2"/>
    <w:rsid w:val="00B46675"/>
    <w:rsid w:val="00B467DA"/>
    <w:rsid w:val="00B530FD"/>
    <w:rsid w:val="00B553B1"/>
    <w:rsid w:val="00B57BE4"/>
    <w:rsid w:val="00B57F86"/>
    <w:rsid w:val="00B64162"/>
    <w:rsid w:val="00B6470C"/>
    <w:rsid w:val="00B668A1"/>
    <w:rsid w:val="00B7026E"/>
    <w:rsid w:val="00B70BA8"/>
    <w:rsid w:val="00B75C01"/>
    <w:rsid w:val="00B7669D"/>
    <w:rsid w:val="00B77637"/>
    <w:rsid w:val="00B80533"/>
    <w:rsid w:val="00B822AB"/>
    <w:rsid w:val="00B82C9B"/>
    <w:rsid w:val="00B838F5"/>
    <w:rsid w:val="00B85088"/>
    <w:rsid w:val="00B86990"/>
    <w:rsid w:val="00B87744"/>
    <w:rsid w:val="00B90EB6"/>
    <w:rsid w:val="00B9106A"/>
    <w:rsid w:val="00B917BF"/>
    <w:rsid w:val="00B91E72"/>
    <w:rsid w:val="00B92A77"/>
    <w:rsid w:val="00B95072"/>
    <w:rsid w:val="00B97300"/>
    <w:rsid w:val="00BA1D20"/>
    <w:rsid w:val="00BA1FA0"/>
    <w:rsid w:val="00BA23BD"/>
    <w:rsid w:val="00BA42B1"/>
    <w:rsid w:val="00BA44EB"/>
    <w:rsid w:val="00BA662C"/>
    <w:rsid w:val="00BA6691"/>
    <w:rsid w:val="00BA734B"/>
    <w:rsid w:val="00BA74A4"/>
    <w:rsid w:val="00BB1345"/>
    <w:rsid w:val="00BB1AC0"/>
    <w:rsid w:val="00BB1F86"/>
    <w:rsid w:val="00BB4CC1"/>
    <w:rsid w:val="00BB58DF"/>
    <w:rsid w:val="00BB5AE2"/>
    <w:rsid w:val="00BB78F7"/>
    <w:rsid w:val="00BC0AAC"/>
    <w:rsid w:val="00BC1766"/>
    <w:rsid w:val="00BC1AF9"/>
    <w:rsid w:val="00BC40B0"/>
    <w:rsid w:val="00BC5586"/>
    <w:rsid w:val="00BC5745"/>
    <w:rsid w:val="00BC5EC4"/>
    <w:rsid w:val="00BD0A4F"/>
    <w:rsid w:val="00BD0CB0"/>
    <w:rsid w:val="00BD119D"/>
    <w:rsid w:val="00BD1B0B"/>
    <w:rsid w:val="00BD29BD"/>
    <w:rsid w:val="00BD3C92"/>
    <w:rsid w:val="00BD4361"/>
    <w:rsid w:val="00BD702D"/>
    <w:rsid w:val="00BD7AA4"/>
    <w:rsid w:val="00BD7C89"/>
    <w:rsid w:val="00BE43C8"/>
    <w:rsid w:val="00BE4684"/>
    <w:rsid w:val="00BE4E0E"/>
    <w:rsid w:val="00BE511C"/>
    <w:rsid w:val="00BE5B64"/>
    <w:rsid w:val="00BE6360"/>
    <w:rsid w:val="00BE721E"/>
    <w:rsid w:val="00BF01C8"/>
    <w:rsid w:val="00BF2628"/>
    <w:rsid w:val="00BF311C"/>
    <w:rsid w:val="00BF3275"/>
    <w:rsid w:val="00BF340A"/>
    <w:rsid w:val="00BF3CFC"/>
    <w:rsid w:val="00BF44F5"/>
    <w:rsid w:val="00BF76C8"/>
    <w:rsid w:val="00BF77AE"/>
    <w:rsid w:val="00C00A81"/>
    <w:rsid w:val="00C010DC"/>
    <w:rsid w:val="00C02A9C"/>
    <w:rsid w:val="00C0571B"/>
    <w:rsid w:val="00C05940"/>
    <w:rsid w:val="00C05F8D"/>
    <w:rsid w:val="00C0617C"/>
    <w:rsid w:val="00C0684E"/>
    <w:rsid w:val="00C06B90"/>
    <w:rsid w:val="00C103CE"/>
    <w:rsid w:val="00C12999"/>
    <w:rsid w:val="00C16C70"/>
    <w:rsid w:val="00C17680"/>
    <w:rsid w:val="00C17F53"/>
    <w:rsid w:val="00C20AB3"/>
    <w:rsid w:val="00C21B0E"/>
    <w:rsid w:val="00C245FB"/>
    <w:rsid w:val="00C25AD5"/>
    <w:rsid w:val="00C30E87"/>
    <w:rsid w:val="00C346F1"/>
    <w:rsid w:val="00C34C1B"/>
    <w:rsid w:val="00C35907"/>
    <w:rsid w:val="00C36389"/>
    <w:rsid w:val="00C36E94"/>
    <w:rsid w:val="00C40BD2"/>
    <w:rsid w:val="00C41202"/>
    <w:rsid w:val="00C416E2"/>
    <w:rsid w:val="00C4268E"/>
    <w:rsid w:val="00C43BF2"/>
    <w:rsid w:val="00C463B5"/>
    <w:rsid w:val="00C46524"/>
    <w:rsid w:val="00C46FAD"/>
    <w:rsid w:val="00C472F6"/>
    <w:rsid w:val="00C47A9D"/>
    <w:rsid w:val="00C5170F"/>
    <w:rsid w:val="00C51B04"/>
    <w:rsid w:val="00C52C01"/>
    <w:rsid w:val="00C53667"/>
    <w:rsid w:val="00C53E0D"/>
    <w:rsid w:val="00C54B53"/>
    <w:rsid w:val="00C56C2E"/>
    <w:rsid w:val="00C57A1C"/>
    <w:rsid w:val="00C6055F"/>
    <w:rsid w:val="00C613BD"/>
    <w:rsid w:val="00C626D9"/>
    <w:rsid w:val="00C62C53"/>
    <w:rsid w:val="00C678B6"/>
    <w:rsid w:val="00C73D1B"/>
    <w:rsid w:val="00C75796"/>
    <w:rsid w:val="00C75A3F"/>
    <w:rsid w:val="00C761BD"/>
    <w:rsid w:val="00C805D7"/>
    <w:rsid w:val="00C814C5"/>
    <w:rsid w:val="00C829ED"/>
    <w:rsid w:val="00C84598"/>
    <w:rsid w:val="00C866D9"/>
    <w:rsid w:val="00C90E2A"/>
    <w:rsid w:val="00C91AAD"/>
    <w:rsid w:val="00C93D19"/>
    <w:rsid w:val="00C96DE0"/>
    <w:rsid w:val="00C9775D"/>
    <w:rsid w:val="00CA24FF"/>
    <w:rsid w:val="00CA4056"/>
    <w:rsid w:val="00CA514D"/>
    <w:rsid w:val="00CA7BB1"/>
    <w:rsid w:val="00CB3B9C"/>
    <w:rsid w:val="00CC1076"/>
    <w:rsid w:val="00CC21D3"/>
    <w:rsid w:val="00CC5936"/>
    <w:rsid w:val="00CC5E55"/>
    <w:rsid w:val="00CC795C"/>
    <w:rsid w:val="00CD571E"/>
    <w:rsid w:val="00CE125F"/>
    <w:rsid w:val="00CE192F"/>
    <w:rsid w:val="00CE20E1"/>
    <w:rsid w:val="00CE2AC9"/>
    <w:rsid w:val="00CE2B71"/>
    <w:rsid w:val="00CE2ECF"/>
    <w:rsid w:val="00CE47AD"/>
    <w:rsid w:val="00CF01F6"/>
    <w:rsid w:val="00CF0301"/>
    <w:rsid w:val="00CF0D74"/>
    <w:rsid w:val="00CF1422"/>
    <w:rsid w:val="00CF19B2"/>
    <w:rsid w:val="00CF72EA"/>
    <w:rsid w:val="00CF79F3"/>
    <w:rsid w:val="00CF7E0F"/>
    <w:rsid w:val="00D00F94"/>
    <w:rsid w:val="00D019ED"/>
    <w:rsid w:val="00D01B5D"/>
    <w:rsid w:val="00D03167"/>
    <w:rsid w:val="00D03E04"/>
    <w:rsid w:val="00D05CB9"/>
    <w:rsid w:val="00D060CB"/>
    <w:rsid w:val="00D07ABF"/>
    <w:rsid w:val="00D10AD7"/>
    <w:rsid w:val="00D16C3F"/>
    <w:rsid w:val="00D17357"/>
    <w:rsid w:val="00D20E2F"/>
    <w:rsid w:val="00D21B1A"/>
    <w:rsid w:val="00D22CE7"/>
    <w:rsid w:val="00D25683"/>
    <w:rsid w:val="00D25A38"/>
    <w:rsid w:val="00D27A77"/>
    <w:rsid w:val="00D27D05"/>
    <w:rsid w:val="00D307CA"/>
    <w:rsid w:val="00D32632"/>
    <w:rsid w:val="00D33603"/>
    <w:rsid w:val="00D34D80"/>
    <w:rsid w:val="00D370BA"/>
    <w:rsid w:val="00D40C94"/>
    <w:rsid w:val="00D44AAB"/>
    <w:rsid w:val="00D50964"/>
    <w:rsid w:val="00D5127F"/>
    <w:rsid w:val="00D51536"/>
    <w:rsid w:val="00D5155B"/>
    <w:rsid w:val="00D52330"/>
    <w:rsid w:val="00D53548"/>
    <w:rsid w:val="00D55CB5"/>
    <w:rsid w:val="00D562F7"/>
    <w:rsid w:val="00D608A8"/>
    <w:rsid w:val="00D60A94"/>
    <w:rsid w:val="00D610DB"/>
    <w:rsid w:val="00D64EE0"/>
    <w:rsid w:val="00D66F56"/>
    <w:rsid w:val="00D671DA"/>
    <w:rsid w:val="00D67740"/>
    <w:rsid w:val="00D7592F"/>
    <w:rsid w:val="00D76934"/>
    <w:rsid w:val="00D77843"/>
    <w:rsid w:val="00D83DF3"/>
    <w:rsid w:val="00D849B5"/>
    <w:rsid w:val="00D84BAA"/>
    <w:rsid w:val="00D85D07"/>
    <w:rsid w:val="00D865C7"/>
    <w:rsid w:val="00D87101"/>
    <w:rsid w:val="00D87E13"/>
    <w:rsid w:val="00D91867"/>
    <w:rsid w:val="00D9196E"/>
    <w:rsid w:val="00D92EE4"/>
    <w:rsid w:val="00D947F6"/>
    <w:rsid w:val="00D96E53"/>
    <w:rsid w:val="00DA0537"/>
    <w:rsid w:val="00DA2B2A"/>
    <w:rsid w:val="00DA2C33"/>
    <w:rsid w:val="00DA2CAB"/>
    <w:rsid w:val="00DA4DBF"/>
    <w:rsid w:val="00DA5AE9"/>
    <w:rsid w:val="00DA65A8"/>
    <w:rsid w:val="00DA6EA0"/>
    <w:rsid w:val="00DA6F60"/>
    <w:rsid w:val="00DA78DF"/>
    <w:rsid w:val="00DB2619"/>
    <w:rsid w:val="00DB2E33"/>
    <w:rsid w:val="00DB4D68"/>
    <w:rsid w:val="00DB68CF"/>
    <w:rsid w:val="00DB72D9"/>
    <w:rsid w:val="00DB756D"/>
    <w:rsid w:val="00DB759A"/>
    <w:rsid w:val="00DC0523"/>
    <w:rsid w:val="00DC17FD"/>
    <w:rsid w:val="00DC3282"/>
    <w:rsid w:val="00DC4071"/>
    <w:rsid w:val="00DC5101"/>
    <w:rsid w:val="00DC63F5"/>
    <w:rsid w:val="00DC75DF"/>
    <w:rsid w:val="00DC7E45"/>
    <w:rsid w:val="00DD067B"/>
    <w:rsid w:val="00DD0C21"/>
    <w:rsid w:val="00DD2074"/>
    <w:rsid w:val="00DD36BA"/>
    <w:rsid w:val="00DD3B3C"/>
    <w:rsid w:val="00DD5B91"/>
    <w:rsid w:val="00DD5E2A"/>
    <w:rsid w:val="00DD60DC"/>
    <w:rsid w:val="00DE2037"/>
    <w:rsid w:val="00DE31CA"/>
    <w:rsid w:val="00DE3AC1"/>
    <w:rsid w:val="00DE614B"/>
    <w:rsid w:val="00DE62AC"/>
    <w:rsid w:val="00DF0A96"/>
    <w:rsid w:val="00DF4276"/>
    <w:rsid w:val="00DF5115"/>
    <w:rsid w:val="00DF6526"/>
    <w:rsid w:val="00E01A32"/>
    <w:rsid w:val="00E04159"/>
    <w:rsid w:val="00E10014"/>
    <w:rsid w:val="00E1119E"/>
    <w:rsid w:val="00E112F4"/>
    <w:rsid w:val="00E12041"/>
    <w:rsid w:val="00E137CF"/>
    <w:rsid w:val="00E14B7C"/>
    <w:rsid w:val="00E1787A"/>
    <w:rsid w:val="00E17C4B"/>
    <w:rsid w:val="00E22B76"/>
    <w:rsid w:val="00E23360"/>
    <w:rsid w:val="00E236C2"/>
    <w:rsid w:val="00E23C07"/>
    <w:rsid w:val="00E268B0"/>
    <w:rsid w:val="00E26C1D"/>
    <w:rsid w:val="00E30659"/>
    <w:rsid w:val="00E339B7"/>
    <w:rsid w:val="00E34945"/>
    <w:rsid w:val="00E3565B"/>
    <w:rsid w:val="00E36E24"/>
    <w:rsid w:val="00E4356F"/>
    <w:rsid w:val="00E43ADF"/>
    <w:rsid w:val="00E4409B"/>
    <w:rsid w:val="00E446BC"/>
    <w:rsid w:val="00E526F3"/>
    <w:rsid w:val="00E5326C"/>
    <w:rsid w:val="00E54F84"/>
    <w:rsid w:val="00E5517D"/>
    <w:rsid w:val="00E55BA7"/>
    <w:rsid w:val="00E57CF8"/>
    <w:rsid w:val="00E62980"/>
    <w:rsid w:val="00E6328C"/>
    <w:rsid w:val="00E64CA3"/>
    <w:rsid w:val="00E65082"/>
    <w:rsid w:val="00E675F5"/>
    <w:rsid w:val="00E70D6F"/>
    <w:rsid w:val="00E75742"/>
    <w:rsid w:val="00E765BD"/>
    <w:rsid w:val="00E77037"/>
    <w:rsid w:val="00E842F6"/>
    <w:rsid w:val="00E844C4"/>
    <w:rsid w:val="00E8559F"/>
    <w:rsid w:val="00E8636A"/>
    <w:rsid w:val="00E8643C"/>
    <w:rsid w:val="00E876CD"/>
    <w:rsid w:val="00E926AA"/>
    <w:rsid w:val="00E929FC"/>
    <w:rsid w:val="00E92E65"/>
    <w:rsid w:val="00E93900"/>
    <w:rsid w:val="00E93A77"/>
    <w:rsid w:val="00E96295"/>
    <w:rsid w:val="00EA00A9"/>
    <w:rsid w:val="00EA0362"/>
    <w:rsid w:val="00EA2301"/>
    <w:rsid w:val="00EA38FD"/>
    <w:rsid w:val="00EA4491"/>
    <w:rsid w:val="00EA6CD5"/>
    <w:rsid w:val="00EA6D61"/>
    <w:rsid w:val="00EB0BA6"/>
    <w:rsid w:val="00EB22C1"/>
    <w:rsid w:val="00EB6F0A"/>
    <w:rsid w:val="00EB7A13"/>
    <w:rsid w:val="00EC0B54"/>
    <w:rsid w:val="00EC136C"/>
    <w:rsid w:val="00EC1F54"/>
    <w:rsid w:val="00EC3644"/>
    <w:rsid w:val="00EC3A74"/>
    <w:rsid w:val="00EC5179"/>
    <w:rsid w:val="00EC51DA"/>
    <w:rsid w:val="00EC598C"/>
    <w:rsid w:val="00EC7DF5"/>
    <w:rsid w:val="00ED2C2D"/>
    <w:rsid w:val="00ED4DF7"/>
    <w:rsid w:val="00ED521E"/>
    <w:rsid w:val="00ED5819"/>
    <w:rsid w:val="00EE0B0D"/>
    <w:rsid w:val="00EE1378"/>
    <w:rsid w:val="00EE2C48"/>
    <w:rsid w:val="00EE4011"/>
    <w:rsid w:val="00EE46B9"/>
    <w:rsid w:val="00EE5FFA"/>
    <w:rsid w:val="00EE7C97"/>
    <w:rsid w:val="00EF58FD"/>
    <w:rsid w:val="00EF6DDE"/>
    <w:rsid w:val="00EF7E6E"/>
    <w:rsid w:val="00F02B5C"/>
    <w:rsid w:val="00F05F44"/>
    <w:rsid w:val="00F062E8"/>
    <w:rsid w:val="00F064E3"/>
    <w:rsid w:val="00F134C8"/>
    <w:rsid w:val="00F13666"/>
    <w:rsid w:val="00F1384B"/>
    <w:rsid w:val="00F141C9"/>
    <w:rsid w:val="00F14996"/>
    <w:rsid w:val="00F14BA0"/>
    <w:rsid w:val="00F16B94"/>
    <w:rsid w:val="00F16D80"/>
    <w:rsid w:val="00F16F06"/>
    <w:rsid w:val="00F170DF"/>
    <w:rsid w:val="00F171E5"/>
    <w:rsid w:val="00F2397F"/>
    <w:rsid w:val="00F252BA"/>
    <w:rsid w:val="00F26477"/>
    <w:rsid w:val="00F26DA5"/>
    <w:rsid w:val="00F26EA8"/>
    <w:rsid w:val="00F30CE6"/>
    <w:rsid w:val="00F3143C"/>
    <w:rsid w:val="00F32F8A"/>
    <w:rsid w:val="00F331E4"/>
    <w:rsid w:val="00F33A6C"/>
    <w:rsid w:val="00F35DE4"/>
    <w:rsid w:val="00F36928"/>
    <w:rsid w:val="00F4073A"/>
    <w:rsid w:val="00F43F63"/>
    <w:rsid w:val="00F47621"/>
    <w:rsid w:val="00F519FC"/>
    <w:rsid w:val="00F530FD"/>
    <w:rsid w:val="00F53B7A"/>
    <w:rsid w:val="00F541F3"/>
    <w:rsid w:val="00F55B1B"/>
    <w:rsid w:val="00F56E6E"/>
    <w:rsid w:val="00F5755A"/>
    <w:rsid w:val="00F61D52"/>
    <w:rsid w:val="00F62AB8"/>
    <w:rsid w:val="00F62B03"/>
    <w:rsid w:val="00F63241"/>
    <w:rsid w:val="00F65C39"/>
    <w:rsid w:val="00F665E6"/>
    <w:rsid w:val="00F70284"/>
    <w:rsid w:val="00F71472"/>
    <w:rsid w:val="00F72170"/>
    <w:rsid w:val="00F7321E"/>
    <w:rsid w:val="00F73BD2"/>
    <w:rsid w:val="00F75E71"/>
    <w:rsid w:val="00F77C59"/>
    <w:rsid w:val="00F802A9"/>
    <w:rsid w:val="00F8276C"/>
    <w:rsid w:val="00F82B33"/>
    <w:rsid w:val="00F82EB0"/>
    <w:rsid w:val="00F83427"/>
    <w:rsid w:val="00F8439B"/>
    <w:rsid w:val="00F85ED1"/>
    <w:rsid w:val="00F85F83"/>
    <w:rsid w:val="00F9098E"/>
    <w:rsid w:val="00F9231D"/>
    <w:rsid w:val="00F967AE"/>
    <w:rsid w:val="00FA046D"/>
    <w:rsid w:val="00FA14E1"/>
    <w:rsid w:val="00FA1619"/>
    <w:rsid w:val="00FA1A38"/>
    <w:rsid w:val="00FA4F83"/>
    <w:rsid w:val="00FA6337"/>
    <w:rsid w:val="00FA6A17"/>
    <w:rsid w:val="00FA6B42"/>
    <w:rsid w:val="00FB54F1"/>
    <w:rsid w:val="00FB6D09"/>
    <w:rsid w:val="00FC01C9"/>
    <w:rsid w:val="00FC3450"/>
    <w:rsid w:val="00FC3E8A"/>
    <w:rsid w:val="00FC58BD"/>
    <w:rsid w:val="00FC6665"/>
    <w:rsid w:val="00FC6ACB"/>
    <w:rsid w:val="00FC7106"/>
    <w:rsid w:val="00FC73D2"/>
    <w:rsid w:val="00FD0558"/>
    <w:rsid w:val="00FD1B8C"/>
    <w:rsid w:val="00FD2C9D"/>
    <w:rsid w:val="00FD3536"/>
    <w:rsid w:val="00FD3AC9"/>
    <w:rsid w:val="00FD76A5"/>
    <w:rsid w:val="00FD7A65"/>
    <w:rsid w:val="00FE0ABA"/>
    <w:rsid w:val="00FE0DCD"/>
    <w:rsid w:val="00FE4B7F"/>
    <w:rsid w:val="00FE5AA3"/>
    <w:rsid w:val="00FF001C"/>
    <w:rsid w:val="00FF1F21"/>
    <w:rsid w:val="00FF26BE"/>
    <w:rsid w:val="00FF3AD4"/>
    <w:rsid w:val="00FF4255"/>
    <w:rsid w:val="00FF43E4"/>
    <w:rsid w:val="00FF689F"/>
    <w:rsid w:val="013D6697"/>
    <w:rsid w:val="02471C19"/>
    <w:rsid w:val="02F1183B"/>
    <w:rsid w:val="033F535D"/>
    <w:rsid w:val="03BE5F89"/>
    <w:rsid w:val="03DB0660"/>
    <w:rsid w:val="048E0186"/>
    <w:rsid w:val="04C44376"/>
    <w:rsid w:val="04EF5DCF"/>
    <w:rsid w:val="054E4EBD"/>
    <w:rsid w:val="060B2F85"/>
    <w:rsid w:val="062A31D9"/>
    <w:rsid w:val="062D11DD"/>
    <w:rsid w:val="06697925"/>
    <w:rsid w:val="06840641"/>
    <w:rsid w:val="07A019A5"/>
    <w:rsid w:val="07D43510"/>
    <w:rsid w:val="080D01E6"/>
    <w:rsid w:val="082533EE"/>
    <w:rsid w:val="083920EC"/>
    <w:rsid w:val="090F576C"/>
    <w:rsid w:val="091A19D9"/>
    <w:rsid w:val="0A317280"/>
    <w:rsid w:val="0ADF43E5"/>
    <w:rsid w:val="0B2B6DAF"/>
    <w:rsid w:val="0BCA00DC"/>
    <w:rsid w:val="0D4B0E4E"/>
    <w:rsid w:val="0D5B02FA"/>
    <w:rsid w:val="0D9F4E2E"/>
    <w:rsid w:val="0DB51F60"/>
    <w:rsid w:val="0DF14FB3"/>
    <w:rsid w:val="0E596AC7"/>
    <w:rsid w:val="0EAA4EB7"/>
    <w:rsid w:val="0EE478F4"/>
    <w:rsid w:val="0F5A6089"/>
    <w:rsid w:val="0FD47345"/>
    <w:rsid w:val="105D24B8"/>
    <w:rsid w:val="10D162FE"/>
    <w:rsid w:val="116D7F23"/>
    <w:rsid w:val="117B694F"/>
    <w:rsid w:val="122B27B2"/>
    <w:rsid w:val="125E1331"/>
    <w:rsid w:val="12897CFF"/>
    <w:rsid w:val="12AF4A1F"/>
    <w:rsid w:val="13491C79"/>
    <w:rsid w:val="13EF3688"/>
    <w:rsid w:val="156B2323"/>
    <w:rsid w:val="159F1D57"/>
    <w:rsid w:val="16314110"/>
    <w:rsid w:val="16371982"/>
    <w:rsid w:val="16AE4360"/>
    <w:rsid w:val="17BA45F8"/>
    <w:rsid w:val="181066D2"/>
    <w:rsid w:val="1821268E"/>
    <w:rsid w:val="18493C0B"/>
    <w:rsid w:val="19742C91"/>
    <w:rsid w:val="19827DE5"/>
    <w:rsid w:val="1A4B69F3"/>
    <w:rsid w:val="1ADF35A4"/>
    <w:rsid w:val="1B9C202B"/>
    <w:rsid w:val="1B9C71B3"/>
    <w:rsid w:val="1BA565E1"/>
    <w:rsid w:val="1C301DCD"/>
    <w:rsid w:val="1D4F7AD4"/>
    <w:rsid w:val="1EEC12B8"/>
    <w:rsid w:val="1F3643E9"/>
    <w:rsid w:val="1F396268"/>
    <w:rsid w:val="1F50430C"/>
    <w:rsid w:val="1F912EED"/>
    <w:rsid w:val="207F3560"/>
    <w:rsid w:val="20DA5ACF"/>
    <w:rsid w:val="20EE1616"/>
    <w:rsid w:val="21CD5852"/>
    <w:rsid w:val="22176DD5"/>
    <w:rsid w:val="223E21DA"/>
    <w:rsid w:val="2267586E"/>
    <w:rsid w:val="22874342"/>
    <w:rsid w:val="229149EA"/>
    <w:rsid w:val="22E75EB8"/>
    <w:rsid w:val="230A6CB3"/>
    <w:rsid w:val="23A44173"/>
    <w:rsid w:val="23B368A8"/>
    <w:rsid w:val="23B60F55"/>
    <w:rsid w:val="23D15E6F"/>
    <w:rsid w:val="24316936"/>
    <w:rsid w:val="256E58F7"/>
    <w:rsid w:val="25822292"/>
    <w:rsid w:val="25DB52A2"/>
    <w:rsid w:val="26AD616F"/>
    <w:rsid w:val="275C6097"/>
    <w:rsid w:val="27870CB7"/>
    <w:rsid w:val="292E23ED"/>
    <w:rsid w:val="29365140"/>
    <w:rsid w:val="296774E5"/>
    <w:rsid w:val="2A443FBA"/>
    <w:rsid w:val="2A600C13"/>
    <w:rsid w:val="2A6B55B4"/>
    <w:rsid w:val="2ABF30B6"/>
    <w:rsid w:val="2BAB6B17"/>
    <w:rsid w:val="2CB51055"/>
    <w:rsid w:val="2CD36504"/>
    <w:rsid w:val="2D2D342B"/>
    <w:rsid w:val="2D2F0F51"/>
    <w:rsid w:val="2D4973DC"/>
    <w:rsid w:val="2DB85492"/>
    <w:rsid w:val="2E0E2D85"/>
    <w:rsid w:val="2E64615C"/>
    <w:rsid w:val="2E866DE4"/>
    <w:rsid w:val="2EE91F9A"/>
    <w:rsid w:val="2F2C1478"/>
    <w:rsid w:val="2FBB1073"/>
    <w:rsid w:val="30717C09"/>
    <w:rsid w:val="30CF6903"/>
    <w:rsid w:val="3108695E"/>
    <w:rsid w:val="32771258"/>
    <w:rsid w:val="33313E10"/>
    <w:rsid w:val="34481BD7"/>
    <w:rsid w:val="357F67EE"/>
    <w:rsid w:val="363F47BD"/>
    <w:rsid w:val="3688599E"/>
    <w:rsid w:val="369B7657"/>
    <w:rsid w:val="36D265FE"/>
    <w:rsid w:val="36D861B6"/>
    <w:rsid w:val="37540F86"/>
    <w:rsid w:val="379944D2"/>
    <w:rsid w:val="38356245"/>
    <w:rsid w:val="39397948"/>
    <w:rsid w:val="3A3A5696"/>
    <w:rsid w:val="3A430271"/>
    <w:rsid w:val="3A553CC1"/>
    <w:rsid w:val="3A6240B1"/>
    <w:rsid w:val="3A8B1822"/>
    <w:rsid w:val="3C665017"/>
    <w:rsid w:val="3C9B1A89"/>
    <w:rsid w:val="3D78348D"/>
    <w:rsid w:val="3DAE5EC2"/>
    <w:rsid w:val="3EC97015"/>
    <w:rsid w:val="3F177A97"/>
    <w:rsid w:val="3FC16CBA"/>
    <w:rsid w:val="3FC419CD"/>
    <w:rsid w:val="40323AF8"/>
    <w:rsid w:val="416134A8"/>
    <w:rsid w:val="418132C2"/>
    <w:rsid w:val="41B3650A"/>
    <w:rsid w:val="41B76DBF"/>
    <w:rsid w:val="42AB6E74"/>
    <w:rsid w:val="43285FDD"/>
    <w:rsid w:val="433450B5"/>
    <w:rsid w:val="43A22025"/>
    <w:rsid w:val="444A3897"/>
    <w:rsid w:val="445030DA"/>
    <w:rsid w:val="45CA13BF"/>
    <w:rsid w:val="464D6934"/>
    <w:rsid w:val="46A73B75"/>
    <w:rsid w:val="46B34F8B"/>
    <w:rsid w:val="46FB0C02"/>
    <w:rsid w:val="47D82312"/>
    <w:rsid w:val="49A64F95"/>
    <w:rsid w:val="49D41E62"/>
    <w:rsid w:val="4A391054"/>
    <w:rsid w:val="4A431964"/>
    <w:rsid w:val="4AA81DFE"/>
    <w:rsid w:val="4B11183E"/>
    <w:rsid w:val="4C613EDC"/>
    <w:rsid w:val="4C6E1FFB"/>
    <w:rsid w:val="4CDB2104"/>
    <w:rsid w:val="4D112333"/>
    <w:rsid w:val="4D1635E9"/>
    <w:rsid w:val="4E354CC0"/>
    <w:rsid w:val="4E9B1B4B"/>
    <w:rsid w:val="4EF53E96"/>
    <w:rsid w:val="4F075432"/>
    <w:rsid w:val="4F3E3390"/>
    <w:rsid w:val="4FC27D66"/>
    <w:rsid w:val="4FFA0AF3"/>
    <w:rsid w:val="4FFB4A48"/>
    <w:rsid w:val="505A4A62"/>
    <w:rsid w:val="510718D5"/>
    <w:rsid w:val="510B0A72"/>
    <w:rsid w:val="513D2FF9"/>
    <w:rsid w:val="51A05888"/>
    <w:rsid w:val="52ED75F8"/>
    <w:rsid w:val="52FB4151"/>
    <w:rsid w:val="53586648"/>
    <w:rsid w:val="535E4E9A"/>
    <w:rsid w:val="53E42B04"/>
    <w:rsid w:val="5420515C"/>
    <w:rsid w:val="54416FAC"/>
    <w:rsid w:val="544C1D62"/>
    <w:rsid w:val="5519384F"/>
    <w:rsid w:val="55537708"/>
    <w:rsid w:val="55CA70E4"/>
    <w:rsid w:val="564345BC"/>
    <w:rsid w:val="56DF7F10"/>
    <w:rsid w:val="57347C1D"/>
    <w:rsid w:val="585D4208"/>
    <w:rsid w:val="586B46E3"/>
    <w:rsid w:val="599151CF"/>
    <w:rsid w:val="5A1C133F"/>
    <w:rsid w:val="5A690893"/>
    <w:rsid w:val="5AA65046"/>
    <w:rsid w:val="5B28431B"/>
    <w:rsid w:val="5B6A66D0"/>
    <w:rsid w:val="5C1703A7"/>
    <w:rsid w:val="5C237883"/>
    <w:rsid w:val="5C4D5022"/>
    <w:rsid w:val="5C6266A3"/>
    <w:rsid w:val="5D015BB7"/>
    <w:rsid w:val="5D9F3036"/>
    <w:rsid w:val="5E0F5F52"/>
    <w:rsid w:val="5E536954"/>
    <w:rsid w:val="5ED2780B"/>
    <w:rsid w:val="5F5C0E82"/>
    <w:rsid w:val="5F88085E"/>
    <w:rsid w:val="60A4759A"/>
    <w:rsid w:val="60A8147C"/>
    <w:rsid w:val="60EF5D26"/>
    <w:rsid w:val="61446072"/>
    <w:rsid w:val="620F0B92"/>
    <w:rsid w:val="62E742D1"/>
    <w:rsid w:val="63F6213B"/>
    <w:rsid w:val="640577E9"/>
    <w:rsid w:val="642002D4"/>
    <w:rsid w:val="64381A24"/>
    <w:rsid w:val="6460191F"/>
    <w:rsid w:val="65E770C6"/>
    <w:rsid w:val="664C6B61"/>
    <w:rsid w:val="66884C53"/>
    <w:rsid w:val="674943E2"/>
    <w:rsid w:val="67570A7F"/>
    <w:rsid w:val="67CF2561"/>
    <w:rsid w:val="68807719"/>
    <w:rsid w:val="695E04AE"/>
    <w:rsid w:val="695E5E63"/>
    <w:rsid w:val="6B146AB5"/>
    <w:rsid w:val="6BE9361A"/>
    <w:rsid w:val="6C5A7607"/>
    <w:rsid w:val="6E5306D0"/>
    <w:rsid w:val="6F133D10"/>
    <w:rsid w:val="6FC95AA3"/>
    <w:rsid w:val="703E57B3"/>
    <w:rsid w:val="710B7FE1"/>
    <w:rsid w:val="712B72E3"/>
    <w:rsid w:val="719324B6"/>
    <w:rsid w:val="727212C6"/>
    <w:rsid w:val="7323046A"/>
    <w:rsid w:val="734463A5"/>
    <w:rsid w:val="737F6B89"/>
    <w:rsid w:val="73C3551C"/>
    <w:rsid w:val="7461479B"/>
    <w:rsid w:val="74B84955"/>
    <w:rsid w:val="74E23E44"/>
    <w:rsid w:val="75311340"/>
    <w:rsid w:val="75602922"/>
    <w:rsid w:val="759C39A6"/>
    <w:rsid w:val="75E83CBD"/>
    <w:rsid w:val="770E5F08"/>
    <w:rsid w:val="77291523"/>
    <w:rsid w:val="78036CC7"/>
    <w:rsid w:val="785901FD"/>
    <w:rsid w:val="78B64B97"/>
    <w:rsid w:val="7A7961E2"/>
    <w:rsid w:val="7A9366A7"/>
    <w:rsid w:val="7A9969F3"/>
    <w:rsid w:val="7B0F1874"/>
    <w:rsid w:val="7B24209E"/>
    <w:rsid w:val="7B717D88"/>
    <w:rsid w:val="7BE73D72"/>
    <w:rsid w:val="7C415E32"/>
    <w:rsid w:val="7D021560"/>
    <w:rsid w:val="7E3C1E6B"/>
    <w:rsid w:val="7E6573DB"/>
    <w:rsid w:val="7E8707A6"/>
    <w:rsid w:val="7ED21F1F"/>
    <w:rsid w:val="7F007B8A"/>
    <w:rsid w:val="7F0B46C3"/>
    <w:rsid w:val="7F557E41"/>
    <w:rsid w:val="7F590EF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9"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0" w:semiHidden="0" w:name="toc 3"/>
    <w:lsdException w:qFormat="1" w:uiPriority="0" w:semiHidden="0" w:name="toc 4"/>
    <w:lsdException w:qFormat="1" w:uiPriority="0"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0" w:semiHidden="0"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iPriority="0" w:semiHidden="0" w:name="Date"/>
    <w:lsdException w:uiPriority="99" w:name="Body Text First Indent"/>
    <w:lsdException w:qFormat="1" w:uiPriority="0" w:semiHidden="0" w:name="Body Text First Indent 2"/>
    <w:lsdException w:uiPriority="99" w:name="Note Heading"/>
    <w:lsdException w:qFormat="1" w:uiPriority="99" w:semiHidden="0" w:name="Body Text 2"/>
    <w:lsdException w:qFormat="1" w:unhideWhenUsed="0" w:uiPriority="0" w:semiHidden="0" w:name="Body Text 3"/>
    <w:lsdException w:qFormat="1" w:uiPriority="0" w:semiHidden="0" w:name="Body Text Indent 2"/>
    <w:lsdException w:qFormat="1" w:unhideWhenUsed="0" w:uiPriority="0" w:semiHidden="0" w:name="Body Text Indent 3"/>
    <w:lsdException w:qFormat="1"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22" w:semiHidden="0" w:name="Strong"/>
    <w:lsdException w:qFormat="1" w:unhideWhenUsed="0" w:uiPriority="20" w:semiHidden="0" w:name="Emphasis"/>
    <w:lsdException w:qFormat="1" w:unhideWhenUsed="0" w:uiPriority="99" w:semiHidden="0" w:name="Document Map"/>
    <w:lsdException w:qFormat="1" w:unhideWhenUsed="0" w:uiPriority="0" w:semiHidden="0" w:name="Plain Text"/>
    <w:lsdException w:uiPriority="99" w:name="E-mail Signature"/>
    <w:lsdException w:qFormat="1" w:uiPriority="0" w:semiHidden="0" w:name="Normal (Web)"/>
    <w:lsdException w:qFormat="1" w:unhideWhenUsed="0" w:uiPriority="0" w:semiHidden="0" w:name="HTML Acronym"/>
    <w:lsdException w:uiPriority="99"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iPriority="99"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39"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6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66"/>
    <w:qFormat/>
    <w:uiPriority w:val="0"/>
    <w:pPr>
      <w:keepNext/>
      <w:keepLines/>
      <w:spacing w:before="260" w:after="260" w:line="415" w:lineRule="auto"/>
      <w:outlineLvl w:val="1"/>
    </w:pPr>
    <w:rPr>
      <w:rFonts w:ascii="Arial" w:hAnsi="Arial" w:eastAsia="黑体"/>
      <w:b/>
      <w:bCs/>
      <w:sz w:val="32"/>
      <w:szCs w:val="32"/>
    </w:rPr>
  </w:style>
  <w:style w:type="paragraph" w:styleId="4">
    <w:name w:val="heading 3"/>
    <w:basedOn w:val="1"/>
    <w:next w:val="1"/>
    <w:link w:val="67"/>
    <w:qFormat/>
    <w:uiPriority w:val="0"/>
    <w:pPr>
      <w:wordWrap w:val="0"/>
      <w:spacing w:before="120" w:line="400" w:lineRule="exact"/>
      <w:ind w:firstLine="464" w:firstLineChars="170"/>
      <w:outlineLvl w:val="2"/>
    </w:pPr>
    <w:rPr>
      <w:rFonts w:eastAsia="黑体"/>
      <w:bCs/>
      <w:sz w:val="28"/>
      <w:szCs w:val="32"/>
    </w:rPr>
  </w:style>
  <w:style w:type="paragraph" w:styleId="5">
    <w:name w:val="heading 4"/>
    <w:basedOn w:val="1"/>
    <w:next w:val="1"/>
    <w:link w:val="68"/>
    <w:qFormat/>
    <w:uiPriority w:val="0"/>
    <w:pPr>
      <w:keepNext/>
      <w:keepLines/>
      <w:spacing w:line="400" w:lineRule="exact"/>
      <w:outlineLvl w:val="3"/>
    </w:pPr>
    <w:rPr>
      <w:bCs/>
      <w:sz w:val="24"/>
      <w:szCs w:val="28"/>
    </w:rPr>
  </w:style>
  <w:style w:type="paragraph" w:styleId="6">
    <w:name w:val="heading 5"/>
    <w:basedOn w:val="1"/>
    <w:next w:val="1"/>
    <w:link w:val="69"/>
    <w:qFormat/>
    <w:uiPriority w:val="9"/>
    <w:pPr>
      <w:keepNext/>
      <w:keepLines/>
      <w:spacing w:before="120" w:line="400" w:lineRule="exact"/>
      <w:ind w:firstLine="170" w:firstLineChars="170"/>
      <w:outlineLvl w:val="4"/>
    </w:pPr>
    <w:rPr>
      <w:rFonts w:eastAsia="黑体"/>
      <w:bCs/>
      <w:sz w:val="28"/>
      <w:szCs w:val="28"/>
    </w:rPr>
  </w:style>
  <w:style w:type="paragraph" w:styleId="7">
    <w:name w:val="heading 6"/>
    <w:basedOn w:val="1"/>
    <w:next w:val="1"/>
    <w:link w:val="70"/>
    <w:qFormat/>
    <w:uiPriority w:val="0"/>
    <w:pPr>
      <w:keepNext/>
      <w:keepLines/>
      <w:widowControl/>
      <w:tabs>
        <w:tab w:val="left" w:pos="1440"/>
      </w:tabs>
      <w:spacing w:before="240" w:after="64" w:line="320" w:lineRule="auto"/>
      <w:ind w:left="1152" w:hanging="1152"/>
      <w:jc w:val="left"/>
      <w:outlineLvl w:val="5"/>
    </w:pPr>
    <w:rPr>
      <w:rFonts w:ascii="Arial" w:hAnsi="Arial" w:eastAsia="黑体"/>
      <w:b/>
      <w:bCs/>
      <w:kern w:val="0"/>
      <w:sz w:val="24"/>
    </w:rPr>
  </w:style>
  <w:style w:type="paragraph" w:styleId="8">
    <w:name w:val="heading 7"/>
    <w:basedOn w:val="1"/>
    <w:next w:val="1"/>
    <w:link w:val="71"/>
    <w:qFormat/>
    <w:uiPriority w:val="0"/>
    <w:pPr>
      <w:keepNext/>
      <w:keepLines/>
      <w:widowControl/>
      <w:tabs>
        <w:tab w:val="left" w:pos="2520"/>
      </w:tabs>
      <w:spacing w:before="240" w:after="64" w:line="320" w:lineRule="auto"/>
      <w:ind w:left="1296" w:hanging="1296"/>
      <w:jc w:val="left"/>
      <w:outlineLvl w:val="6"/>
    </w:pPr>
    <w:rPr>
      <w:b/>
      <w:bCs/>
      <w:kern w:val="0"/>
      <w:sz w:val="24"/>
    </w:rPr>
  </w:style>
  <w:style w:type="paragraph" w:styleId="9">
    <w:name w:val="heading 8"/>
    <w:basedOn w:val="1"/>
    <w:next w:val="1"/>
    <w:link w:val="72"/>
    <w:qFormat/>
    <w:uiPriority w:val="0"/>
    <w:pPr>
      <w:keepNext/>
      <w:keepLines/>
      <w:widowControl/>
      <w:tabs>
        <w:tab w:val="left" w:pos="1440"/>
      </w:tabs>
      <w:spacing w:before="240" w:after="64" w:line="320" w:lineRule="auto"/>
      <w:ind w:left="1440" w:hanging="1440"/>
      <w:jc w:val="left"/>
      <w:outlineLvl w:val="7"/>
    </w:pPr>
    <w:rPr>
      <w:rFonts w:ascii="Arial" w:hAnsi="Arial" w:eastAsia="黑体"/>
      <w:kern w:val="0"/>
      <w:sz w:val="24"/>
    </w:rPr>
  </w:style>
  <w:style w:type="paragraph" w:styleId="10">
    <w:name w:val="heading 9"/>
    <w:basedOn w:val="1"/>
    <w:next w:val="1"/>
    <w:link w:val="73"/>
    <w:qFormat/>
    <w:uiPriority w:val="0"/>
    <w:pPr>
      <w:keepNext/>
      <w:keepLines/>
      <w:widowControl/>
      <w:tabs>
        <w:tab w:val="left" w:pos="1584"/>
      </w:tabs>
      <w:spacing w:before="240" w:after="64" w:line="320" w:lineRule="auto"/>
      <w:ind w:left="1584" w:hanging="1584"/>
      <w:jc w:val="left"/>
      <w:outlineLvl w:val="8"/>
    </w:pPr>
    <w:rPr>
      <w:rFonts w:ascii="Arial" w:hAnsi="Arial" w:eastAsia="黑体"/>
      <w:kern w:val="0"/>
      <w:szCs w:val="21"/>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unhideWhenUsed/>
    <w:qFormat/>
    <w:uiPriority w:val="39"/>
    <w:pPr>
      <w:spacing w:line="400" w:lineRule="exact"/>
      <w:ind w:left="2520" w:leftChars="1200"/>
    </w:pPr>
    <w:rPr>
      <w:sz w:val="24"/>
      <w:szCs w:val="22"/>
    </w:rPr>
  </w:style>
  <w:style w:type="paragraph" w:styleId="12">
    <w:name w:val="Normal Indent"/>
    <w:basedOn w:val="1"/>
    <w:link w:val="139"/>
    <w:qFormat/>
    <w:uiPriority w:val="0"/>
    <w:pPr>
      <w:spacing w:line="400" w:lineRule="exact"/>
      <w:ind w:firstLine="420" w:firstLineChars="200"/>
    </w:pPr>
    <w:rPr>
      <w:rFonts w:eastAsiaTheme="minorEastAsia" w:cstheme="minorBidi"/>
    </w:rPr>
  </w:style>
  <w:style w:type="paragraph" w:styleId="13">
    <w:name w:val="caption"/>
    <w:basedOn w:val="1"/>
    <w:next w:val="1"/>
    <w:qFormat/>
    <w:uiPriority w:val="0"/>
    <w:pPr>
      <w:spacing w:line="400" w:lineRule="exact"/>
    </w:pPr>
    <w:rPr>
      <w:rFonts w:ascii="Cambria" w:hAnsi="Cambria" w:eastAsia="黑体"/>
      <w:sz w:val="20"/>
      <w:szCs w:val="20"/>
    </w:rPr>
  </w:style>
  <w:style w:type="paragraph" w:styleId="14">
    <w:name w:val="Document Map"/>
    <w:basedOn w:val="1"/>
    <w:link w:val="143"/>
    <w:qFormat/>
    <w:uiPriority w:val="99"/>
    <w:pPr>
      <w:shd w:val="clear" w:color="auto" w:fill="000080"/>
      <w:spacing w:line="400" w:lineRule="exact"/>
    </w:pPr>
    <w:rPr>
      <w:rFonts w:eastAsiaTheme="minorEastAsia" w:cstheme="minorBidi"/>
    </w:rPr>
  </w:style>
  <w:style w:type="paragraph" w:styleId="15">
    <w:name w:val="annotation text"/>
    <w:basedOn w:val="1"/>
    <w:link w:val="132"/>
    <w:unhideWhenUsed/>
    <w:qFormat/>
    <w:uiPriority w:val="0"/>
    <w:pPr>
      <w:jc w:val="left"/>
    </w:pPr>
  </w:style>
  <w:style w:type="paragraph" w:styleId="16">
    <w:name w:val="Body Text 3"/>
    <w:basedOn w:val="1"/>
    <w:link w:val="121"/>
    <w:qFormat/>
    <w:uiPriority w:val="0"/>
    <w:pPr>
      <w:spacing w:line="400" w:lineRule="exact"/>
    </w:pPr>
    <w:rPr>
      <w:rFonts w:ascii="宋体" w:eastAsiaTheme="minorEastAsia" w:cstheme="minorBidi"/>
      <w:sz w:val="24"/>
      <w:szCs w:val="20"/>
    </w:rPr>
  </w:style>
  <w:style w:type="paragraph" w:styleId="17">
    <w:name w:val="Body Text"/>
    <w:basedOn w:val="1"/>
    <w:link w:val="74"/>
    <w:unhideWhenUsed/>
    <w:qFormat/>
    <w:uiPriority w:val="99"/>
    <w:pPr>
      <w:spacing w:after="120"/>
    </w:pPr>
  </w:style>
  <w:style w:type="paragraph" w:styleId="18">
    <w:name w:val="Body Text Indent"/>
    <w:basedOn w:val="1"/>
    <w:link w:val="75"/>
    <w:qFormat/>
    <w:uiPriority w:val="99"/>
    <w:pPr>
      <w:spacing w:after="120"/>
      <w:ind w:left="420" w:leftChars="200"/>
    </w:pPr>
    <w:rPr>
      <w:rFonts w:ascii="Calibri" w:hAnsi="Calibri"/>
      <w:kern w:val="0"/>
      <w:sz w:val="24"/>
    </w:rPr>
  </w:style>
  <w:style w:type="paragraph" w:styleId="19">
    <w:name w:val="Block Text"/>
    <w:basedOn w:val="1"/>
    <w:qFormat/>
    <w:uiPriority w:val="0"/>
    <w:pPr>
      <w:adjustRightInd w:val="0"/>
      <w:ind w:left="420" w:right="33"/>
      <w:jc w:val="left"/>
      <w:textAlignment w:val="baseline"/>
    </w:pPr>
    <w:rPr>
      <w:kern w:val="0"/>
      <w:sz w:val="24"/>
      <w:szCs w:val="20"/>
    </w:rPr>
  </w:style>
  <w:style w:type="paragraph" w:styleId="20">
    <w:name w:val="index 4"/>
    <w:basedOn w:val="1"/>
    <w:next w:val="1"/>
    <w:qFormat/>
    <w:uiPriority w:val="0"/>
    <w:pPr>
      <w:spacing w:line="400" w:lineRule="exact"/>
      <w:ind w:left="600" w:leftChars="600"/>
    </w:pPr>
    <w:rPr>
      <w:sz w:val="24"/>
    </w:rPr>
  </w:style>
  <w:style w:type="paragraph" w:styleId="21">
    <w:name w:val="toc 5"/>
    <w:basedOn w:val="1"/>
    <w:next w:val="1"/>
    <w:unhideWhenUsed/>
    <w:qFormat/>
    <w:uiPriority w:val="0"/>
    <w:pPr>
      <w:spacing w:line="400" w:lineRule="exact"/>
      <w:ind w:left="1680" w:leftChars="800"/>
    </w:pPr>
    <w:rPr>
      <w:sz w:val="24"/>
      <w:szCs w:val="22"/>
    </w:rPr>
  </w:style>
  <w:style w:type="paragraph" w:styleId="22">
    <w:name w:val="toc 3"/>
    <w:basedOn w:val="1"/>
    <w:next w:val="1"/>
    <w:qFormat/>
    <w:uiPriority w:val="0"/>
    <w:pPr>
      <w:spacing w:line="400" w:lineRule="exact"/>
      <w:ind w:left="840" w:leftChars="400"/>
    </w:pPr>
    <w:rPr>
      <w:sz w:val="24"/>
    </w:rPr>
  </w:style>
  <w:style w:type="paragraph" w:styleId="23">
    <w:name w:val="Plain Text"/>
    <w:basedOn w:val="1"/>
    <w:link w:val="76"/>
    <w:qFormat/>
    <w:uiPriority w:val="0"/>
    <w:rPr>
      <w:rFonts w:ascii="宋体" w:hAnsi="Courier New" w:cstheme="minorBidi"/>
      <w:szCs w:val="20"/>
    </w:rPr>
  </w:style>
  <w:style w:type="paragraph" w:styleId="24">
    <w:name w:val="toc 8"/>
    <w:basedOn w:val="1"/>
    <w:next w:val="1"/>
    <w:unhideWhenUsed/>
    <w:qFormat/>
    <w:uiPriority w:val="39"/>
    <w:pPr>
      <w:spacing w:line="400" w:lineRule="exact"/>
      <w:ind w:left="2940" w:leftChars="1400"/>
    </w:pPr>
    <w:rPr>
      <w:sz w:val="24"/>
      <w:szCs w:val="22"/>
    </w:rPr>
  </w:style>
  <w:style w:type="paragraph" w:styleId="25">
    <w:name w:val="Date"/>
    <w:basedOn w:val="1"/>
    <w:next w:val="1"/>
    <w:link w:val="97"/>
    <w:unhideWhenUsed/>
    <w:qFormat/>
    <w:uiPriority w:val="0"/>
    <w:pPr>
      <w:ind w:left="100" w:leftChars="2500"/>
    </w:pPr>
  </w:style>
  <w:style w:type="paragraph" w:styleId="26">
    <w:name w:val="Body Text Indent 2"/>
    <w:basedOn w:val="1"/>
    <w:link w:val="77"/>
    <w:unhideWhenUsed/>
    <w:qFormat/>
    <w:uiPriority w:val="0"/>
    <w:pPr>
      <w:spacing w:after="120" w:line="480" w:lineRule="auto"/>
      <w:ind w:left="420" w:leftChars="200"/>
    </w:pPr>
  </w:style>
  <w:style w:type="paragraph" w:styleId="27">
    <w:name w:val="Balloon Text"/>
    <w:basedOn w:val="1"/>
    <w:link w:val="78"/>
    <w:unhideWhenUsed/>
    <w:qFormat/>
    <w:uiPriority w:val="0"/>
    <w:rPr>
      <w:sz w:val="18"/>
      <w:szCs w:val="18"/>
    </w:rPr>
  </w:style>
  <w:style w:type="paragraph" w:styleId="28">
    <w:name w:val="footer"/>
    <w:basedOn w:val="1"/>
    <w:link w:val="79"/>
    <w:unhideWhenUsed/>
    <w:qFormat/>
    <w:uiPriority w:val="99"/>
    <w:pPr>
      <w:tabs>
        <w:tab w:val="center" w:pos="4153"/>
        <w:tab w:val="right" w:pos="8306"/>
      </w:tabs>
      <w:snapToGrid w:val="0"/>
      <w:jc w:val="left"/>
    </w:pPr>
    <w:rPr>
      <w:sz w:val="18"/>
      <w:szCs w:val="18"/>
    </w:rPr>
  </w:style>
  <w:style w:type="paragraph" w:styleId="29">
    <w:name w:val="header"/>
    <w:basedOn w:val="1"/>
    <w:link w:val="80"/>
    <w:unhideWhenUsed/>
    <w:qFormat/>
    <w:uiPriority w:val="99"/>
    <w:pPr>
      <w:pBdr>
        <w:bottom w:val="single" w:color="auto" w:sz="6" w:space="1"/>
      </w:pBdr>
      <w:tabs>
        <w:tab w:val="center" w:pos="4153"/>
        <w:tab w:val="right" w:pos="8306"/>
      </w:tabs>
      <w:snapToGrid w:val="0"/>
      <w:jc w:val="center"/>
    </w:pPr>
    <w:rPr>
      <w:sz w:val="18"/>
      <w:szCs w:val="18"/>
    </w:rPr>
  </w:style>
  <w:style w:type="paragraph" w:styleId="30">
    <w:name w:val="toc 1"/>
    <w:basedOn w:val="1"/>
    <w:next w:val="1"/>
    <w:qFormat/>
    <w:uiPriority w:val="39"/>
    <w:pPr>
      <w:tabs>
        <w:tab w:val="right" w:leader="dot" w:pos="9356"/>
      </w:tabs>
      <w:spacing w:line="440" w:lineRule="exact"/>
    </w:pPr>
    <w:rPr>
      <w:b/>
      <w:sz w:val="24"/>
    </w:rPr>
  </w:style>
  <w:style w:type="paragraph" w:styleId="31">
    <w:name w:val="toc 4"/>
    <w:basedOn w:val="1"/>
    <w:next w:val="1"/>
    <w:unhideWhenUsed/>
    <w:qFormat/>
    <w:uiPriority w:val="0"/>
    <w:pPr>
      <w:spacing w:line="400" w:lineRule="exact"/>
      <w:ind w:left="1260" w:leftChars="600"/>
    </w:pPr>
    <w:rPr>
      <w:sz w:val="24"/>
      <w:szCs w:val="22"/>
    </w:rPr>
  </w:style>
  <w:style w:type="paragraph" w:styleId="32">
    <w:name w:val="Subtitle"/>
    <w:basedOn w:val="1"/>
    <w:next w:val="1"/>
    <w:link w:val="142"/>
    <w:qFormat/>
    <w:uiPriority w:val="0"/>
    <w:pPr>
      <w:spacing w:before="120" w:line="480" w:lineRule="exact"/>
      <w:outlineLvl w:val="0"/>
    </w:pPr>
    <w:rPr>
      <w:rFonts w:eastAsia="黑体" w:cstheme="minorBidi"/>
      <w:bCs/>
      <w:kern w:val="0"/>
      <w:sz w:val="30"/>
      <w:szCs w:val="32"/>
    </w:rPr>
  </w:style>
  <w:style w:type="paragraph" w:styleId="33">
    <w:name w:val="List"/>
    <w:basedOn w:val="1"/>
    <w:qFormat/>
    <w:uiPriority w:val="0"/>
    <w:pPr>
      <w:ind w:left="200" w:hanging="200" w:hangingChars="200"/>
    </w:pPr>
    <w:rPr>
      <w:rFonts w:ascii="Calibri" w:hAnsi="Calibri"/>
    </w:rPr>
  </w:style>
  <w:style w:type="paragraph" w:styleId="34">
    <w:name w:val="footnote text"/>
    <w:basedOn w:val="1"/>
    <w:link w:val="130"/>
    <w:unhideWhenUsed/>
    <w:qFormat/>
    <w:uiPriority w:val="0"/>
    <w:pPr>
      <w:adjustRightInd w:val="0"/>
      <w:spacing w:line="312" w:lineRule="atLeast"/>
      <w:jc w:val="left"/>
    </w:pPr>
    <w:rPr>
      <w:rFonts w:eastAsiaTheme="minorEastAsia" w:cstheme="minorBidi"/>
      <w:kern w:val="0"/>
      <w:sz w:val="18"/>
      <w:szCs w:val="20"/>
    </w:rPr>
  </w:style>
  <w:style w:type="paragraph" w:styleId="35">
    <w:name w:val="toc 6"/>
    <w:basedOn w:val="1"/>
    <w:next w:val="1"/>
    <w:unhideWhenUsed/>
    <w:qFormat/>
    <w:uiPriority w:val="39"/>
    <w:pPr>
      <w:spacing w:line="400" w:lineRule="exact"/>
      <w:ind w:left="2100" w:leftChars="1000"/>
    </w:pPr>
    <w:rPr>
      <w:sz w:val="24"/>
      <w:szCs w:val="22"/>
    </w:rPr>
  </w:style>
  <w:style w:type="paragraph" w:styleId="36">
    <w:name w:val="Body Text Indent 3"/>
    <w:basedOn w:val="1"/>
    <w:link w:val="145"/>
    <w:qFormat/>
    <w:uiPriority w:val="0"/>
    <w:pPr>
      <w:spacing w:after="120" w:line="400" w:lineRule="exact"/>
      <w:ind w:left="420" w:leftChars="200"/>
    </w:pPr>
    <w:rPr>
      <w:rFonts w:eastAsiaTheme="minorEastAsia" w:cstheme="minorBidi"/>
      <w:sz w:val="16"/>
      <w:szCs w:val="16"/>
    </w:rPr>
  </w:style>
  <w:style w:type="paragraph" w:styleId="37">
    <w:name w:val="toc 2"/>
    <w:basedOn w:val="1"/>
    <w:next w:val="1"/>
    <w:qFormat/>
    <w:uiPriority w:val="39"/>
    <w:pPr>
      <w:spacing w:line="400" w:lineRule="exact"/>
      <w:ind w:left="420" w:leftChars="200"/>
    </w:pPr>
    <w:rPr>
      <w:sz w:val="24"/>
    </w:rPr>
  </w:style>
  <w:style w:type="paragraph" w:styleId="38">
    <w:name w:val="toc 9"/>
    <w:basedOn w:val="1"/>
    <w:next w:val="1"/>
    <w:unhideWhenUsed/>
    <w:qFormat/>
    <w:uiPriority w:val="39"/>
    <w:pPr>
      <w:spacing w:line="400" w:lineRule="exact"/>
      <w:ind w:left="3360" w:leftChars="1600"/>
    </w:pPr>
    <w:rPr>
      <w:sz w:val="24"/>
      <w:szCs w:val="22"/>
    </w:rPr>
  </w:style>
  <w:style w:type="paragraph" w:styleId="39">
    <w:name w:val="Body Text 2"/>
    <w:basedOn w:val="1"/>
    <w:link w:val="120"/>
    <w:unhideWhenUsed/>
    <w:qFormat/>
    <w:uiPriority w:val="99"/>
    <w:pPr>
      <w:spacing w:line="280" w:lineRule="exact"/>
    </w:pPr>
    <w:rPr>
      <w:rFonts w:eastAsiaTheme="minorEastAsia" w:cstheme="minorBidi"/>
      <w:spacing w:val="4"/>
      <w:sz w:val="18"/>
      <w:szCs w:val="20"/>
    </w:rPr>
  </w:style>
  <w:style w:type="paragraph" w:styleId="40">
    <w:name w:val="HTML Preformatted"/>
    <w:basedOn w:val="1"/>
    <w:link w:val="128"/>
    <w:unhideWhenUsed/>
    <w:qFormat/>
    <w:uiPriority w:val="99"/>
    <w:pPr>
      <w:spacing w:line="400" w:lineRule="exact"/>
    </w:pPr>
    <w:rPr>
      <w:rFonts w:ascii="Courier New" w:hAnsi="Courier New" w:cs="Courier New" w:eastAsiaTheme="minorEastAsia"/>
      <w:sz w:val="20"/>
      <w:szCs w:val="20"/>
    </w:rPr>
  </w:style>
  <w:style w:type="paragraph" w:styleId="41">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paragraph" w:styleId="42">
    <w:name w:val="index 1"/>
    <w:basedOn w:val="1"/>
    <w:next w:val="1"/>
    <w:qFormat/>
    <w:uiPriority w:val="0"/>
    <w:pPr>
      <w:spacing w:line="220" w:lineRule="exact"/>
      <w:jc w:val="center"/>
    </w:pPr>
    <w:rPr>
      <w:rFonts w:ascii="仿宋_GB2312" w:eastAsia="仿宋_GB2312"/>
      <w:sz w:val="24"/>
      <w:szCs w:val="21"/>
    </w:rPr>
  </w:style>
  <w:style w:type="paragraph" w:styleId="43">
    <w:name w:val="Title"/>
    <w:basedOn w:val="1"/>
    <w:link w:val="81"/>
    <w:qFormat/>
    <w:uiPriority w:val="10"/>
    <w:pPr>
      <w:adjustRightInd w:val="0"/>
      <w:spacing w:before="240" w:after="60" w:line="420" w:lineRule="atLeast"/>
      <w:jc w:val="center"/>
      <w:textAlignment w:val="baseline"/>
      <w:outlineLvl w:val="0"/>
    </w:pPr>
    <w:rPr>
      <w:rFonts w:ascii="Arial" w:hAnsi="Arial" w:eastAsiaTheme="minorEastAsia" w:cstheme="minorBidi"/>
      <w:b/>
      <w:kern w:val="0"/>
      <w:sz w:val="32"/>
      <w:szCs w:val="20"/>
    </w:rPr>
  </w:style>
  <w:style w:type="paragraph" w:styleId="44">
    <w:name w:val="annotation subject"/>
    <w:basedOn w:val="15"/>
    <w:next w:val="15"/>
    <w:link w:val="131"/>
    <w:unhideWhenUsed/>
    <w:qFormat/>
    <w:uiPriority w:val="0"/>
    <w:pPr>
      <w:spacing w:line="400" w:lineRule="exact"/>
    </w:pPr>
    <w:rPr>
      <w:rFonts w:eastAsiaTheme="minorEastAsia" w:cstheme="minorBidi"/>
      <w:b/>
      <w:bCs/>
    </w:rPr>
  </w:style>
  <w:style w:type="paragraph" w:styleId="45">
    <w:name w:val="Body Text First Indent 2"/>
    <w:basedOn w:val="18"/>
    <w:link w:val="286"/>
    <w:unhideWhenUsed/>
    <w:qFormat/>
    <w:uiPriority w:val="0"/>
    <w:pPr>
      <w:ind w:firstLine="420" w:firstLineChars="200"/>
    </w:pPr>
    <w:rPr>
      <w:rFonts w:ascii="Times New Roman" w:hAnsi="Times New Roman"/>
      <w:kern w:val="2"/>
      <w:sz w:val="21"/>
    </w:rPr>
  </w:style>
  <w:style w:type="table" w:styleId="47">
    <w:name w:val="Table Grid"/>
    <w:basedOn w:val="46"/>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49">
    <w:name w:val="Strong"/>
    <w:qFormat/>
    <w:uiPriority w:val="22"/>
    <w:rPr>
      <w:b/>
      <w:bCs/>
    </w:rPr>
  </w:style>
  <w:style w:type="character" w:styleId="50">
    <w:name w:val="page number"/>
    <w:qFormat/>
    <w:uiPriority w:val="0"/>
    <w:rPr>
      <w:rFonts w:cs="Times New Roman"/>
    </w:rPr>
  </w:style>
  <w:style w:type="character" w:styleId="51">
    <w:name w:val="FollowedHyperlink"/>
    <w:qFormat/>
    <w:uiPriority w:val="0"/>
    <w:rPr>
      <w:color w:val="0000FF"/>
      <w:u w:val="single"/>
    </w:rPr>
  </w:style>
  <w:style w:type="character" w:styleId="52">
    <w:name w:val="Emphasis"/>
    <w:qFormat/>
    <w:uiPriority w:val="20"/>
    <w:rPr>
      <w:i/>
    </w:rPr>
  </w:style>
  <w:style w:type="character" w:styleId="53">
    <w:name w:val="HTML Definition"/>
    <w:qFormat/>
    <w:uiPriority w:val="0"/>
  </w:style>
  <w:style w:type="character" w:styleId="54">
    <w:name w:val="HTML Typewriter"/>
    <w:qFormat/>
    <w:uiPriority w:val="0"/>
    <w:rPr>
      <w:rFonts w:ascii="monospace" w:hAnsi="monospace" w:eastAsia="monospace" w:cs="monospace"/>
      <w:sz w:val="20"/>
    </w:rPr>
  </w:style>
  <w:style w:type="character" w:styleId="55">
    <w:name w:val="HTML Acronym"/>
    <w:basedOn w:val="48"/>
    <w:qFormat/>
    <w:uiPriority w:val="0"/>
  </w:style>
  <w:style w:type="character" w:styleId="56">
    <w:name w:val="HTML Variable"/>
    <w:qFormat/>
    <w:uiPriority w:val="0"/>
  </w:style>
  <w:style w:type="character" w:styleId="57">
    <w:name w:val="Hyperlink"/>
    <w:qFormat/>
    <w:uiPriority w:val="0"/>
    <w:rPr>
      <w:rFonts w:ascii="Verdana" w:hAnsi="Verdana" w:cs="Verdana"/>
      <w:color w:val="000000"/>
      <w:kern w:val="0"/>
      <w:sz w:val="20"/>
      <w:szCs w:val="20"/>
      <w:u w:val="none"/>
      <w:lang w:eastAsia="en-US"/>
    </w:rPr>
  </w:style>
  <w:style w:type="character" w:styleId="58">
    <w:name w:val="HTML Code"/>
    <w:qFormat/>
    <w:uiPriority w:val="0"/>
    <w:rPr>
      <w:rFonts w:hint="default" w:ascii="monospace" w:hAnsi="monospace" w:eastAsia="monospace" w:cs="monospace"/>
      <w:sz w:val="20"/>
    </w:rPr>
  </w:style>
  <w:style w:type="character" w:styleId="59">
    <w:name w:val="annotation reference"/>
    <w:qFormat/>
    <w:uiPriority w:val="0"/>
    <w:rPr>
      <w:sz w:val="21"/>
      <w:szCs w:val="21"/>
    </w:rPr>
  </w:style>
  <w:style w:type="character" w:styleId="60">
    <w:name w:val="HTML Cite"/>
    <w:qFormat/>
    <w:uiPriority w:val="0"/>
  </w:style>
  <w:style w:type="character" w:styleId="61">
    <w:name w:val="footnote reference"/>
    <w:unhideWhenUsed/>
    <w:qFormat/>
    <w:uiPriority w:val="0"/>
    <w:rPr>
      <w:vertAlign w:val="superscript"/>
    </w:rPr>
  </w:style>
  <w:style w:type="character" w:styleId="62">
    <w:name w:val="HTML Keyboard"/>
    <w:qFormat/>
    <w:uiPriority w:val="0"/>
    <w:rPr>
      <w:rFonts w:hint="default" w:ascii="monospace" w:hAnsi="monospace" w:eastAsia="monospace" w:cs="monospace"/>
      <w:sz w:val="20"/>
    </w:rPr>
  </w:style>
  <w:style w:type="character" w:styleId="63">
    <w:name w:val="HTML Sample"/>
    <w:qFormat/>
    <w:uiPriority w:val="0"/>
    <w:rPr>
      <w:rFonts w:hint="default" w:ascii="monospace" w:hAnsi="monospace" w:eastAsia="monospace" w:cs="monospace"/>
    </w:rPr>
  </w:style>
  <w:style w:type="paragraph" w:customStyle="1" w:styleId="64">
    <w:name w:val="正文1"/>
    <w:qFormat/>
    <w:uiPriority w:val="0"/>
    <w:pPr>
      <w:adjustRightInd w:val="0"/>
      <w:spacing w:before="120" w:after="120" w:line="180" w:lineRule="auto"/>
      <w:ind w:firstLine="200" w:firstLineChars="200"/>
      <w:contextualSpacing/>
    </w:pPr>
    <w:rPr>
      <w:rFonts w:ascii="Calibri" w:hAnsi="Calibri" w:eastAsia="Adobe 仿宋 Std R" w:cs="Times New Roman"/>
      <w:kern w:val="2"/>
      <w:sz w:val="21"/>
      <w:szCs w:val="21"/>
      <w:lang w:val="en-US" w:eastAsia="zh-CN" w:bidi="ar-SA"/>
    </w:rPr>
  </w:style>
  <w:style w:type="character" w:customStyle="1" w:styleId="65">
    <w:name w:val="标题 1 字符"/>
    <w:basedOn w:val="48"/>
    <w:link w:val="2"/>
    <w:qFormat/>
    <w:uiPriority w:val="9"/>
    <w:rPr>
      <w:rFonts w:ascii="Times New Roman" w:hAnsi="Times New Roman" w:eastAsia="宋体" w:cs="Times New Roman"/>
      <w:b/>
      <w:bCs/>
      <w:kern w:val="44"/>
      <w:sz w:val="44"/>
      <w:szCs w:val="44"/>
    </w:rPr>
  </w:style>
  <w:style w:type="character" w:customStyle="1" w:styleId="66">
    <w:name w:val="标题 2 字符"/>
    <w:basedOn w:val="48"/>
    <w:link w:val="3"/>
    <w:qFormat/>
    <w:uiPriority w:val="0"/>
    <w:rPr>
      <w:rFonts w:ascii="Arial" w:hAnsi="Arial" w:eastAsia="黑体" w:cs="Times New Roman"/>
      <w:b/>
      <w:bCs/>
      <w:kern w:val="2"/>
      <w:sz w:val="32"/>
      <w:szCs w:val="32"/>
    </w:rPr>
  </w:style>
  <w:style w:type="character" w:customStyle="1" w:styleId="67">
    <w:name w:val="标题 3 字符"/>
    <w:basedOn w:val="48"/>
    <w:link w:val="4"/>
    <w:qFormat/>
    <w:uiPriority w:val="0"/>
    <w:rPr>
      <w:rFonts w:ascii="Times New Roman" w:hAnsi="Times New Roman" w:eastAsia="黑体" w:cs="Times New Roman"/>
      <w:bCs/>
      <w:kern w:val="2"/>
      <w:sz w:val="28"/>
      <w:szCs w:val="32"/>
    </w:rPr>
  </w:style>
  <w:style w:type="character" w:customStyle="1" w:styleId="68">
    <w:name w:val="标题 4 字符"/>
    <w:basedOn w:val="48"/>
    <w:link w:val="5"/>
    <w:qFormat/>
    <w:uiPriority w:val="0"/>
    <w:rPr>
      <w:rFonts w:ascii="Times New Roman" w:hAnsi="Times New Roman" w:eastAsia="宋体" w:cs="Times New Roman"/>
      <w:bCs/>
      <w:kern w:val="2"/>
      <w:sz w:val="24"/>
      <w:szCs w:val="28"/>
    </w:rPr>
  </w:style>
  <w:style w:type="character" w:customStyle="1" w:styleId="69">
    <w:name w:val="标题 5 字符"/>
    <w:basedOn w:val="48"/>
    <w:link w:val="6"/>
    <w:qFormat/>
    <w:uiPriority w:val="9"/>
    <w:rPr>
      <w:rFonts w:ascii="Times New Roman" w:hAnsi="Times New Roman" w:eastAsia="黑体" w:cs="Times New Roman"/>
      <w:bCs/>
      <w:kern w:val="2"/>
      <w:sz w:val="28"/>
      <w:szCs w:val="28"/>
    </w:rPr>
  </w:style>
  <w:style w:type="character" w:customStyle="1" w:styleId="70">
    <w:name w:val="标题 6 字符"/>
    <w:basedOn w:val="48"/>
    <w:link w:val="7"/>
    <w:qFormat/>
    <w:uiPriority w:val="0"/>
    <w:rPr>
      <w:rFonts w:ascii="Arial" w:hAnsi="Arial" w:eastAsia="黑体" w:cs="Times New Roman"/>
      <w:b/>
      <w:bCs/>
      <w:sz w:val="24"/>
      <w:szCs w:val="24"/>
    </w:rPr>
  </w:style>
  <w:style w:type="character" w:customStyle="1" w:styleId="71">
    <w:name w:val="标题 7 字符"/>
    <w:basedOn w:val="48"/>
    <w:link w:val="8"/>
    <w:qFormat/>
    <w:uiPriority w:val="0"/>
    <w:rPr>
      <w:rFonts w:ascii="Times New Roman" w:hAnsi="Times New Roman" w:eastAsia="宋体" w:cs="Times New Roman"/>
      <w:b/>
      <w:bCs/>
      <w:sz w:val="24"/>
      <w:szCs w:val="24"/>
    </w:rPr>
  </w:style>
  <w:style w:type="character" w:customStyle="1" w:styleId="72">
    <w:name w:val="标题 8 字符"/>
    <w:basedOn w:val="48"/>
    <w:link w:val="9"/>
    <w:qFormat/>
    <w:uiPriority w:val="0"/>
    <w:rPr>
      <w:rFonts w:ascii="Arial" w:hAnsi="Arial" w:eastAsia="黑体" w:cs="Times New Roman"/>
      <w:sz w:val="24"/>
      <w:szCs w:val="24"/>
    </w:rPr>
  </w:style>
  <w:style w:type="character" w:customStyle="1" w:styleId="73">
    <w:name w:val="标题 9 字符"/>
    <w:basedOn w:val="48"/>
    <w:link w:val="10"/>
    <w:qFormat/>
    <w:uiPriority w:val="0"/>
    <w:rPr>
      <w:rFonts w:ascii="Arial" w:hAnsi="Arial" w:eastAsia="黑体" w:cs="Times New Roman"/>
      <w:sz w:val="21"/>
      <w:szCs w:val="21"/>
    </w:rPr>
  </w:style>
  <w:style w:type="character" w:customStyle="1" w:styleId="74">
    <w:name w:val="正文文本 字符"/>
    <w:basedOn w:val="48"/>
    <w:link w:val="17"/>
    <w:qFormat/>
    <w:uiPriority w:val="99"/>
    <w:rPr>
      <w:rFonts w:ascii="Times New Roman" w:hAnsi="Times New Roman" w:eastAsia="宋体" w:cs="Times New Roman"/>
      <w:kern w:val="2"/>
      <w:sz w:val="21"/>
      <w:szCs w:val="24"/>
    </w:rPr>
  </w:style>
  <w:style w:type="character" w:customStyle="1" w:styleId="75">
    <w:name w:val="正文文本缩进 字符"/>
    <w:basedOn w:val="48"/>
    <w:link w:val="18"/>
    <w:qFormat/>
    <w:uiPriority w:val="99"/>
    <w:rPr>
      <w:rFonts w:ascii="Calibri" w:hAnsi="Calibri" w:eastAsia="宋体" w:cs="Times New Roman"/>
      <w:kern w:val="0"/>
      <w:sz w:val="24"/>
      <w:szCs w:val="24"/>
    </w:rPr>
  </w:style>
  <w:style w:type="character" w:customStyle="1" w:styleId="76">
    <w:name w:val="纯文本 字符1"/>
    <w:link w:val="23"/>
    <w:qFormat/>
    <w:uiPriority w:val="0"/>
    <w:rPr>
      <w:rFonts w:ascii="宋体" w:hAnsi="Courier New" w:eastAsia="宋体"/>
      <w:szCs w:val="20"/>
    </w:rPr>
  </w:style>
  <w:style w:type="character" w:customStyle="1" w:styleId="77">
    <w:name w:val="正文文本缩进 2 字符"/>
    <w:basedOn w:val="48"/>
    <w:link w:val="26"/>
    <w:qFormat/>
    <w:uiPriority w:val="0"/>
    <w:rPr>
      <w:rFonts w:ascii="Times New Roman" w:hAnsi="Times New Roman" w:eastAsia="宋体" w:cs="Times New Roman"/>
      <w:szCs w:val="24"/>
    </w:rPr>
  </w:style>
  <w:style w:type="character" w:customStyle="1" w:styleId="78">
    <w:name w:val="批注框文本 字符"/>
    <w:basedOn w:val="48"/>
    <w:link w:val="27"/>
    <w:qFormat/>
    <w:uiPriority w:val="0"/>
    <w:rPr>
      <w:rFonts w:ascii="Times New Roman" w:hAnsi="Times New Roman" w:eastAsia="宋体" w:cs="Times New Roman"/>
      <w:kern w:val="2"/>
      <w:sz w:val="18"/>
      <w:szCs w:val="18"/>
    </w:rPr>
  </w:style>
  <w:style w:type="character" w:customStyle="1" w:styleId="79">
    <w:name w:val="页脚 字符"/>
    <w:basedOn w:val="48"/>
    <w:link w:val="28"/>
    <w:qFormat/>
    <w:uiPriority w:val="99"/>
    <w:rPr>
      <w:sz w:val="18"/>
      <w:szCs w:val="18"/>
    </w:rPr>
  </w:style>
  <w:style w:type="character" w:customStyle="1" w:styleId="80">
    <w:name w:val="页眉 字符"/>
    <w:basedOn w:val="48"/>
    <w:link w:val="29"/>
    <w:qFormat/>
    <w:uiPriority w:val="99"/>
    <w:rPr>
      <w:sz w:val="18"/>
      <w:szCs w:val="18"/>
    </w:rPr>
  </w:style>
  <w:style w:type="character" w:customStyle="1" w:styleId="81">
    <w:name w:val="标题 字符"/>
    <w:link w:val="43"/>
    <w:qFormat/>
    <w:uiPriority w:val="10"/>
    <w:rPr>
      <w:rFonts w:ascii="Arial" w:hAnsi="Arial"/>
      <w:b/>
      <w:sz w:val="32"/>
    </w:rPr>
  </w:style>
  <w:style w:type="paragraph" w:customStyle="1" w:styleId="82">
    <w:name w:val="正文 1.1"/>
    <w:basedOn w:val="1"/>
    <w:next w:val="83"/>
    <w:qFormat/>
    <w:uiPriority w:val="99"/>
    <w:pPr>
      <w:numPr>
        <w:ilvl w:val="1"/>
        <w:numId w:val="1"/>
      </w:numPr>
      <w:adjustRightInd w:val="0"/>
      <w:spacing w:line="360" w:lineRule="auto"/>
      <w:ind w:left="980" w:hanging="980" w:hangingChars="350"/>
      <w:textAlignment w:val="baseline"/>
      <w:outlineLvl w:val="1"/>
    </w:pPr>
    <w:rPr>
      <w:rFonts w:ascii="仿宋" w:hAnsi="仿宋" w:eastAsia="仿宋"/>
      <w:b/>
      <w:kern w:val="0"/>
      <w:sz w:val="28"/>
      <w:szCs w:val="21"/>
    </w:rPr>
  </w:style>
  <w:style w:type="paragraph" w:customStyle="1" w:styleId="83">
    <w:name w:val="正文 1.1.1"/>
    <w:basedOn w:val="1"/>
    <w:next w:val="1"/>
    <w:qFormat/>
    <w:uiPriority w:val="99"/>
    <w:pPr>
      <w:numPr>
        <w:ilvl w:val="2"/>
        <w:numId w:val="1"/>
      </w:numPr>
      <w:tabs>
        <w:tab w:val="left" w:pos="851"/>
      </w:tabs>
      <w:adjustRightInd w:val="0"/>
      <w:spacing w:line="360" w:lineRule="auto"/>
      <w:textAlignment w:val="baseline"/>
      <w:outlineLvl w:val="2"/>
    </w:pPr>
    <w:rPr>
      <w:rFonts w:ascii="宋体" w:hAnsi="宋体"/>
      <w:color w:val="FF0000"/>
      <w:kern w:val="0"/>
      <w:sz w:val="28"/>
      <w:szCs w:val="21"/>
    </w:rPr>
  </w:style>
  <w:style w:type="character" w:customStyle="1" w:styleId="84">
    <w:name w:val="font71"/>
    <w:qFormat/>
    <w:uiPriority w:val="0"/>
    <w:rPr>
      <w:rFonts w:hint="eastAsia" w:ascii="仿宋" w:hAnsi="仿宋" w:eastAsia="仿宋" w:cs="仿宋"/>
      <w:color w:val="000000"/>
      <w:kern w:val="0"/>
      <w:sz w:val="22"/>
      <w:szCs w:val="22"/>
      <w:u w:val="none"/>
      <w:lang w:eastAsia="en-US"/>
    </w:rPr>
  </w:style>
  <w:style w:type="character" w:customStyle="1" w:styleId="85">
    <w:name w:val="font61"/>
    <w:qFormat/>
    <w:uiPriority w:val="0"/>
    <w:rPr>
      <w:rFonts w:hint="default" w:ascii="Times New Roman" w:hAnsi="Times New Roman" w:cs="Times New Roman"/>
      <w:color w:val="000000"/>
      <w:kern w:val="0"/>
      <w:sz w:val="22"/>
      <w:szCs w:val="22"/>
      <w:u w:val="none"/>
      <w:lang w:eastAsia="en-US"/>
    </w:rPr>
  </w:style>
  <w:style w:type="character" w:customStyle="1" w:styleId="86">
    <w:name w:val="纯文本 字符"/>
    <w:basedOn w:val="48"/>
    <w:qFormat/>
    <w:uiPriority w:val="0"/>
    <w:rPr>
      <w:rFonts w:hAnsi="Courier New" w:cs="Courier New" w:asciiTheme="minorEastAsia"/>
      <w:szCs w:val="24"/>
    </w:rPr>
  </w:style>
  <w:style w:type="paragraph" w:customStyle="1" w:styleId="87">
    <w:name w:val="[Normal]"/>
    <w:qFormat/>
    <w:uiPriority w:val="0"/>
    <w:rPr>
      <w:rFonts w:ascii="方正仿宋简体" w:hAnsi="方正仿宋简体" w:eastAsia="方正仿宋简体" w:cs="Courier New"/>
      <w:sz w:val="24"/>
      <w:szCs w:val="22"/>
      <w:lang w:val="zh-CN" w:eastAsia="zh-CN" w:bidi="ar-SA"/>
    </w:rPr>
  </w:style>
  <w:style w:type="paragraph" w:customStyle="1" w:styleId="88">
    <w:name w:val="正文空2格  1."/>
    <w:basedOn w:val="1"/>
    <w:qFormat/>
    <w:uiPriority w:val="99"/>
    <w:pPr>
      <w:adjustRightInd w:val="0"/>
      <w:spacing w:line="360" w:lineRule="auto"/>
      <w:ind w:firstLine="480" w:firstLineChars="200"/>
      <w:textAlignment w:val="baseline"/>
    </w:pPr>
    <w:rPr>
      <w:rFonts w:ascii="宋体" w:eastAsia="仿宋" w:cs="宋体"/>
      <w:kern w:val="0"/>
      <w:sz w:val="28"/>
    </w:rPr>
  </w:style>
  <w:style w:type="paragraph" w:styleId="89">
    <w:name w:val="List Paragraph"/>
    <w:basedOn w:val="1"/>
    <w:qFormat/>
    <w:uiPriority w:val="99"/>
    <w:pPr>
      <w:ind w:firstLine="420" w:firstLineChars="200"/>
    </w:pPr>
  </w:style>
  <w:style w:type="paragraph" w:customStyle="1" w:styleId="90">
    <w:name w:val="正文_0_1"/>
    <w:qFormat/>
    <w:uiPriority w:val="0"/>
    <w:pPr>
      <w:widowControl w:val="0"/>
      <w:jc w:val="both"/>
    </w:pPr>
    <w:rPr>
      <w:rFonts w:ascii="Calibri" w:hAnsi="Calibri" w:eastAsia="微软雅黑" w:cs="Times New Roman"/>
      <w:kern w:val="2"/>
      <w:sz w:val="21"/>
      <w:szCs w:val="24"/>
      <w:lang w:val="en-US" w:eastAsia="zh-CN" w:bidi="ar-SA"/>
    </w:rPr>
  </w:style>
  <w:style w:type="character" w:customStyle="1" w:styleId="91">
    <w:name w:val="未处理的提及1"/>
    <w:basedOn w:val="48"/>
    <w:semiHidden/>
    <w:unhideWhenUsed/>
    <w:qFormat/>
    <w:uiPriority w:val="99"/>
    <w:rPr>
      <w:color w:val="605E5C"/>
      <w:shd w:val="clear" w:color="auto" w:fill="E1DFDD"/>
    </w:rPr>
  </w:style>
  <w:style w:type="character" w:customStyle="1" w:styleId="92">
    <w:name w:val="纯文本 Char"/>
    <w:qFormat/>
    <w:locked/>
    <w:uiPriority w:val="0"/>
    <w:rPr>
      <w:rFonts w:ascii="宋体" w:hAnsi="Courier New" w:eastAsia="宋体" w:cs="Courier New"/>
      <w:kern w:val="2"/>
      <w:sz w:val="21"/>
      <w:szCs w:val="21"/>
      <w:lang w:val="en-US" w:eastAsia="zh-CN" w:bidi="ar-SA"/>
    </w:rPr>
  </w:style>
  <w:style w:type="paragraph" w:customStyle="1" w:styleId="93">
    <w:name w:val="Default"/>
    <w:qFormat/>
    <w:uiPriority w:val="99"/>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character" w:customStyle="1" w:styleId="94">
    <w:name w:val="标题 字符1"/>
    <w:basedOn w:val="48"/>
    <w:qFormat/>
    <w:uiPriority w:val="10"/>
    <w:rPr>
      <w:rFonts w:asciiTheme="majorHAnsi" w:hAnsiTheme="majorHAnsi" w:eastAsiaTheme="majorEastAsia" w:cstheme="majorBidi"/>
      <w:b/>
      <w:bCs/>
      <w:kern w:val="2"/>
      <w:sz w:val="32"/>
      <w:szCs w:val="32"/>
    </w:rPr>
  </w:style>
  <w:style w:type="paragraph" w:customStyle="1" w:styleId="95">
    <w:name w:val="Table Paragraph"/>
    <w:basedOn w:val="1"/>
    <w:qFormat/>
    <w:uiPriority w:val="99"/>
    <w:pPr>
      <w:autoSpaceDE w:val="0"/>
      <w:autoSpaceDN w:val="0"/>
      <w:jc w:val="left"/>
    </w:pPr>
    <w:rPr>
      <w:rFonts w:ascii="宋体" w:hAnsi="宋体" w:cs="宋体"/>
      <w:kern w:val="0"/>
      <w:sz w:val="22"/>
      <w:szCs w:val="22"/>
      <w:lang w:val="zh-CN" w:bidi="zh-CN"/>
    </w:rPr>
  </w:style>
  <w:style w:type="paragraph" w:styleId="96">
    <w:name w:val="No Spacing"/>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7">
    <w:name w:val="日期 字符"/>
    <w:basedOn w:val="48"/>
    <w:link w:val="25"/>
    <w:qFormat/>
    <w:uiPriority w:val="0"/>
    <w:rPr>
      <w:rFonts w:ascii="Times New Roman" w:hAnsi="Times New Roman" w:eastAsia="宋体" w:cs="Times New Roman"/>
      <w:kern w:val="2"/>
      <w:sz w:val="21"/>
      <w:szCs w:val="24"/>
    </w:rPr>
  </w:style>
  <w:style w:type="paragraph" w:customStyle="1" w:styleId="98">
    <w:name w:val="_Style 61"/>
    <w:qFormat/>
    <w:uiPriority w:val="0"/>
    <w:pPr>
      <w:widowControl w:val="0"/>
      <w:jc w:val="both"/>
    </w:pPr>
    <w:rPr>
      <w:rFonts w:ascii="Times New Roman" w:hAnsi="Times New Roman" w:eastAsia="宋体" w:cs="Times New Roman"/>
      <w:kern w:val="2"/>
      <w:sz w:val="21"/>
      <w:szCs w:val="24"/>
      <w:lang w:val="en-US" w:eastAsia="zh-CN" w:bidi="ar-SA"/>
    </w:rPr>
  </w:style>
  <w:style w:type="character" w:customStyle="1" w:styleId="99">
    <w:name w:val="apple-converted-space"/>
    <w:qFormat/>
    <w:uiPriority w:val="0"/>
  </w:style>
  <w:style w:type="character" w:customStyle="1" w:styleId="100">
    <w:name w:val="已访问的超链接1"/>
    <w:qFormat/>
    <w:uiPriority w:val="0"/>
    <w:rPr>
      <w:color w:val="800080"/>
      <w:u w:val="single"/>
    </w:rPr>
  </w:style>
  <w:style w:type="character" w:customStyle="1" w:styleId="101">
    <w:name w:val="Variable"/>
    <w:qFormat/>
    <w:uiPriority w:val="0"/>
    <w:rPr>
      <w:i/>
    </w:rPr>
  </w:style>
  <w:style w:type="character" w:customStyle="1" w:styleId="102">
    <w:name w:val="正文文本 Char1"/>
    <w:qFormat/>
    <w:uiPriority w:val="0"/>
    <w:rPr>
      <w:kern w:val="2"/>
      <w:sz w:val="21"/>
      <w:szCs w:val="22"/>
    </w:rPr>
  </w:style>
  <w:style w:type="character" w:customStyle="1" w:styleId="103">
    <w:name w:val="Definition"/>
    <w:qFormat/>
    <w:uiPriority w:val="0"/>
    <w:rPr>
      <w:i/>
    </w:rPr>
  </w:style>
  <w:style w:type="character" w:customStyle="1" w:styleId="104">
    <w:name w:val="明显参考1"/>
    <w:qFormat/>
    <w:uiPriority w:val="0"/>
    <w:rPr>
      <w:b/>
      <w:bCs/>
      <w:smallCaps/>
      <w:color w:val="C0504D"/>
      <w:spacing w:val="5"/>
      <w:u w:val="single"/>
    </w:rPr>
  </w:style>
  <w:style w:type="character" w:customStyle="1" w:styleId="105">
    <w:name w:val="Keyboard"/>
    <w:qFormat/>
    <w:uiPriority w:val="0"/>
    <w:rPr>
      <w:rFonts w:hint="default" w:ascii="Courier New" w:hAnsi="Courier New" w:cs="Courier New"/>
      <w:b/>
      <w:sz w:val="20"/>
    </w:rPr>
  </w:style>
  <w:style w:type="character" w:customStyle="1" w:styleId="106">
    <w:name w:val="引用 Char1"/>
    <w:qFormat/>
    <w:uiPriority w:val="29"/>
    <w:rPr>
      <w:i/>
      <w:iCs/>
      <w:color w:val="404040"/>
      <w:kern w:val="2"/>
      <w:sz w:val="21"/>
      <w:szCs w:val="22"/>
    </w:rPr>
  </w:style>
  <w:style w:type="character" w:customStyle="1" w:styleId="107">
    <w:name w:val="不明显参考1"/>
    <w:qFormat/>
    <w:uiPriority w:val="0"/>
    <w:rPr>
      <w:smallCaps/>
      <w:color w:val="C0504D"/>
      <w:u w:val="single"/>
    </w:rPr>
  </w:style>
  <w:style w:type="character" w:customStyle="1" w:styleId="108">
    <w:name w:val="自2 Char"/>
    <w:link w:val="109"/>
    <w:qFormat/>
    <w:uiPriority w:val="0"/>
    <w:rPr>
      <w:rFonts w:ascii="Times New Roman" w:hAnsi="Times New Roman"/>
      <w:kern w:val="2"/>
      <w:sz w:val="24"/>
      <w:szCs w:val="24"/>
    </w:rPr>
  </w:style>
  <w:style w:type="paragraph" w:customStyle="1" w:styleId="109">
    <w:name w:val="自2"/>
    <w:basedOn w:val="1"/>
    <w:link w:val="108"/>
    <w:qFormat/>
    <w:uiPriority w:val="0"/>
    <w:pPr>
      <w:numPr>
        <w:ilvl w:val="3"/>
        <w:numId w:val="1"/>
      </w:numPr>
      <w:spacing w:line="400" w:lineRule="exact"/>
    </w:pPr>
    <w:rPr>
      <w:rFonts w:eastAsiaTheme="minorEastAsia" w:cstheme="minorBidi"/>
      <w:sz w:val="24"/>
    </w:rPr>
  </w:style>
  <w:style w:type="character" w:customStyle="1" w:styleId="110">
    <w:name w:val="apple-style-span"/>
    <w:qFormat/>
    <w:uiPriority w:val="0"/>
  </w:style>
  <w:style w:type="character" w:customStyle="1" w:styleId="111">
    <w:name w:val="标题5 Char Char"/>
    <w:link w:val="112"/>
    <w:qFormat/>
    <w:uiPriority w:val="0"/>
    <w:rPr>
      <w:rFonts w:ascii="Arial" w:hAnsi="Arial"/>
      <w:b/>
      <w:bCs/>
      <w:sz w:val="24"/>
      <w:szCs w:val="32"/>
    </w:rPr>
  </w:style>
  <w:style w:type="paragraph" w:customStyle="1" w:styleId="112">
    <w:name w:val="标题5"/>
    <w:basedOn w:val="4"/>
    <w:link w:val="111"/>
    <w:qFormat/>
    <w:uiPriority w:val="0"/>
    <w:pPr>
      <w:spacing w:after="120" w:line="413" w:lineRule="auto"/>
      <w:ind w:firstLine="200" w:firstLineChars="200"/>
    </w:pPr>
    <w:rPr>
      <w:rFonts w:ascii="Arial" w:hAnsi="Arial" w:eastAsiaTheme="minorEastAsia" w:cstheme="minorBidi"/>
      <w:b/>
      <w:kern w:val="0"/>
      <w:sz w:val="24"/>
    </w:rPr>
  </w:style>
  <w:style w:type="character" w:customStyle="1" w:styleId="113">
    <w:name w:val="style71"/>
    <w:qFormat/>
    <w:uiPriority w:val="0"/>
    <w:rPr>
      <w:sz w:val="30"/>
      <w:szCs w:val="30"/>
    </w:rPr>
  </w:style>
  <w:style w:type="character" w:customStyle="1" w:styleId="114">
    <w:name w:val="自1 Char"/>
    <w:link w:val="115"/>
    <w:qFormat/>
    <w:uiPriority w:val="0"/>
    <w:rPr>
      <w:rFonts w:ascii="Times New Roman" w:hAnsi="Times New Roman"/>
      <w:kern w:val="2"/>
      <w:sz w:val="24"/>
      <w:szCs w:val="24"/>
    </w:rPr>
  </w:style>
  <w:style w:type="paragraph" w:customStyle="1" w:styleId="115">
    <w:name w:val="自1"/>
    <w:basedOn w:val="1"/>
    <w:link w:val="114"/>
    <w:qFormat/>
    <w:uiPriority w:val="0"/>
    <w:pPr>
      <w:tabs>
        <w:tab w:val="left" w:pos="1260"/>
      </w:tabs>
      <w:spacing w:line="400" w:lineRule="exact"/>
      <w:ind w:left="1260" w:hanging="420"/>
    </w:pPr>
    <w:rPr>
      <w:rFonts w:eastAsiaTheme="minorEastAsia" w:cstheme="minorBidi"/>
      <w:sz w:val="24"/>
    </w:rPr>
  </w:style>
  <w:style w:type="character" w:customStyle="1" w:styleId="116">
    <w:name w:val="日期 Char1"/>
    <w:qFormat/>
    <w:uiPriority w:val="0"/>
    <w:rPr>
      <w:kern w:val="2"/>
      <w:sz w:val="21"/>
      <w:szCs w:val="22"/>
    </w:rPr>
  </w:style>
  <w:style w:type="character" w:customStyle="1" w:styleId="117">
    <w:name w:val="引用 字符"/>
    <w:link w:val="118"/>
    <w:qFormat/>
    <w:uiPriority w:val="0"/>
    <w:rPr>
      <w:i/>
      <w:iCs/>
      <w:color w:val="000000"/>
      <w:kern w:val="2"/>
      <w:sz w:val="21"/>
      <w:szCs w:val="22"/>
    </w:rPr>
  </w:style>
  <w:style w:type="paragraph" w:styleId="118">
    <w:name w:val="Quote"/>
    <w:basedOn w:val="1"/>
    <w:next w:val="1"/>
    <w:link w:val="117"/>
    <w:qFormat/>
    <w:uiPriority w:val="0"/>
    <w:pPr>
      <w:spacing w:line="400" w:lineRule="exact"/>
    </w:pPr>
    <w:rPr>
      <w:rFonts w:asciiTheme="minorHAnsi" w:hAnsiTheme="minorHAnsi" w:eastAsiaTheme="minorEastAsia" w:cstheme="minorBidi"/>
      <w:i/>
      <w:iCs/>
      <w:color w:val="000000"/>
      <w:szCs w:val="22"/>
    </w:rPr>
  </w:style>
  <w:style w:type="character" w:customStyle="1" w:styleId="119">
    <w:name w:val="文档结构图 Char1"/>
    <w:qFormat/>
    <w:uiPriority w:val="0"/>
    <w:rPr>
      <w:rFonts w:ascii="宋体"/>
      <w:kern w:val="2"/>
      <w:sz w:val="18"/>
      <w:szCs w:val="18"/>
    </w:rPr>
  </w:style>
  <w:style w:type="character" w:customStyle="1" w:styleId="120">
    <w:name w:val="正文文本 2 字符"/>
    <w:link w:val="39"/>
    <w:qFormat/>
    <w:uiPriority w:val="99"/>
    <w:rPr>
      <w:rFonts w:ascii="Times New Roman" w:hAnsi="Times New Roman"/>
      <w:spacing w:val="4"/>
      <w:kern w:val="2"/>
      <w:sz w:val="18"/>
    </w:rPr>
  </w:style>
  <w:style w:type="character" w:customStyle="1" w:styleId="121">
    <w:name w:val="正文文本 3 字符"/>
    <w:link w:val="16"/>
    <w:qFormat/>
    <w:uiPriority w:val="0"/>
    <w:rPr>
      <w:rFonts w:ascii="宋体" w:hAnsi="Times New Roman"/>
      <w:kern w:val="2"/>
      <w:sz w:val="24"/>
    </w:rPr>
  </w:style>
  <w:style w:type="character" w:customStyle="1" w:styleId="122">
    <w:name w:val="书籍标题1"/>
    <w:qFormat/>
    <w:uiPriority w:val="0"/>
    <w:rPr>
      <w:b/>
      <w:bCs/>
      <w:smallCaps/>
      <w:spacing w:val="5"/>
    </w:rPr>
  </w:style>
  <w:style w:type="character" w:customStyle="1" w:styleId="123">
    <w:name w:val="style61"/>
    <w:qFormat/>
    <w:uiPriority w:val="0"/>
    <w:rPr>
      <w:sz w:val="32"/>
      <w:szCs w:val="32"/>
    </w:rPr>
  </w:style>
  <w:style w:type="character" w:customStyle="1" w:styleId="124">
    <w:name w:val="CODE"/>
    <w:qFormat/>
    <w:uiPriority w:val="0"/>
    <w:rPr>
      <w:rFonts w:hint="default" w:ascii="Courier New" w:hAnsi="Courier New" w:cs="Courier New"/>
      <w:sz w:val="20"/>
    </w:rPr>
  </w:style>
  <w:style w:type="character" w:customStyle="1" w:styleId="125">
    <w:name w:val="CITE"/>
    <w:qFormat/>
    <w:uiPriority w:val="0"/>
    <w:rPr>
      <w:i/>
    </w:rPr>
  </w:style>
  <w:style w:type="character" w:customStyle="1" w:styleId="126">
    <w:name w:val="Para head"/>
    <w:qFormat/>
    <w:uiPriority w:val="0"/>
    <w:rPr>
      <w:rFonts w:hint="default" w:ascii="Arial" w:hAnsi="Arial" w:eastAsia="Times New Roman" w:cs="Arial"/>
      <w:sz w:val="20"/>
    </w:rPr>
  </w:style>
  <w:style w:type="character" w:customStyle="1" w:styleId="127">
    <w:name w:val="Sample"/>
    <w:qFormat/>
    <w:uiPriority w:val="0"/>
    <w:rPr>
      <w:rFonts w:hint="default" w:ascii="Courier New" w:hAnsi="Courier New" w:cs="Courier New"/>
    </w:rPr>
  </w:style>
  <w:style w:type="character" w:customStyle="1" w:styleId="128">
    <w:name w:val="HTML 预设格式 字符"/>
    <w:link w:val="40"/>
    <w:qFormat/>
    <w:uiPriority w:val="99"/>
    <w:rPr>
      <w:rFonts w:ascii="Courier New" w:hAnsi="Courier New" w:cs="Courier New"/>
      <w:kern w:val="2"/>
    </w:rPr>
  </w:style>
  <w:style w:type="character" w:customStyle="1" w:styleId="129">
    <w:name w:val="明显引用 Char1"/>
    <w:qFormat/>
    <w:uiPriority w:val="30"/>
    <w:rPr>
      <w:i/>
      <w:iCs/>
      <w:color w:val="5B9BD5"/>
      <w:kern w:val="2"/>
      <w:sz w:val="21"/>
      <w:szCs w:val="22"/>
    </w:rPr>
  </w:style>
  <w:style w:type="character" w:customStyle="1" w:styleId="130">
    <w:name w:val="脚注文本 字符"/>
    <w:link w:val="34"/>
    <w:qFormat/>
    <w:uiPriority w:val="0"/>
    <w:rPr>
      <w:rFonts w:ascii="Times New Roman" w:hAnsi="Times New Roman"/>
      <w:sz w:val="18"/>
    </w:rPr>
  </w:style>
  <w:style w:type="character" w:customStyle="1" w:styleId="131">
    <w:name w:val="批注主题 字符"/>
    <w:link w:val="44"/>
    <w:qFormat/>
    <w:uiPriority w:val="0"/>
    <w:rPr>
      <w:rFonts w:ascii="Times New Roman" w:hAnsi="Times New Roman"/>
      <w:b/>
      <w:bCs/>
      <w:kern w:val="2"/>
      <w:sz w:val="21"/>
      <w:szCs w:val="24"/>
    </w:rPr>
  </w:style>
  <w:style w:type="character" w:customStyle="1" w:styleId="132">
    <w:name w:val="批注文字 字符"/>
    <w:basedOn w:val="48"/>
    <w:link w:val="15"/>
    <w:qFormat/>
    <w:uiPriority w:val="0"/>
    <w:rPr>
      <w:rFonts w:ascii="Times New Roman" w:hAnsi="Times New Roman" w:eastAsia="宋体" w:cs="Times New Roman"/>
      <w:kern w:val="2"/>
      <w:sz w:val="21"/>
      <w:szCs w:val="24"/>
    </w:rPr>
  </w:style>
  <w:style w:type="character" w:customStyle="1" w:styleId="133">
    <w:name w:val="style101"/>
    <w:qFormat/>
    <w:uiPriority w:val="0"/>
    <w:rPr>
      <w:b/>
      <w:bCs/>
      <w:color w:val="990000"/>
      <w:sz w:val="36"/>
      <w:szCs w:val="36"/>
    </w:rPr>
  </w:style>
  <w:style w:type="character" w:customStyle="1" w:styleId="134">
    <w:name w:val="Typewriter"/>
    <w:qFormat/>
    <w:uiPriority w:val="0"/>
    <w:rPr>
      <w:rFonts w:hint="default" w:ascii="Courier New" w:hAnsi="Courier New" w:cs="Courier New"/>
      <w:sz w:val="20"/>
    </w:rPr>
  </w:style>
  <w:style w:type="character" w:customStyle="1" w:styleId="135">
    <w:name w:val="批注文字 Char Char"/>
    <w:qFormat/>
    <w:uiPriority w:val="0"/>
    <w:rPr>
      <w:rFonts w:ascii="宋体" w:hAnsi="Times New Roman" w:eastAsia="宋体" w:cs="Times New Roman"/>
      <w:sz w:val="28"/>
      <w:szCs w:val="20"/>
    </w:rPr>
  </w:style>
  <w:style w:type="character" w:customStyle="1" w:styleId="136">
    <w:name w:val="HTML Markup"/>
    <w:qFormat/>
    <w:uiPriority w:val="0"/>
    <w:rPr>
      <w:vanish/>
      <w:color w:val="FF0000"/>
    </w:rPr>
  </w:style>
  <w:style w:type="character" w:customStyle="1" w:styleId="137">
    <w:name w:val="明显引用 字符"/>
    <w:link w:val="138"/>
    <w:qFormat/>
    <w:uiPriority w:val="0"/>
    <w:rPr>
      <w:b/>
      <w:bCs/>
      <w:i/>
      <w:iCs/>
      <w:color w:val="4F81BD"/>
      <w:kern w:val="2"/>
      <w:sz w:val="21"/>
      <w:szCs w:val="22"/>
    </w:rPr>
  </w:style>
  <w:style w:type="paragraph" w:styleId="138">
    <w:name w:val="Intense Quote"/>
    <w:basedOn w:val="1"/>
    <w:next w:val="1"/>
    <w:link w:val="137"/>
    <w:qFormat/>
    <w:uiPriority w:val="0"/>
    <w:pPr>
      <w:pBdr>
        <w:bottom w:val="single" w:color="4F81BD" w:sz="4" w:space="4"/>
      </w:pBdr>
      <w:spacing w:before="200" w:after="280" w:line="400" w:lineRule="exact"/>
      <w:ind w:left="936" w:right="936"/>
    </w:pPr>
    <w:rPr>
      <w:rFonts w:asciiTheme="minorHAnsi" w:hAnsiTheme="minorHAnsi" w:eastAsiaTheme="minorEastAsia" w:cstheme="minorBidi"/>
      <w:b/>
      <w:bCs/>
      <w:i/>
      <w:iCs/>
      <w:color w:val="4F81BD"/>
      <w:szCs w:val="22"/>
    </w:rPr>
  </w:style>
  <w:style w:type="character" w:customStyle="1" w:styleId="139">
    <w:name w:val="正文缩进 字符"/>
    <w:link w:val="12"/>
    <w:qFormat/>
    <w:uiPriority w:val="0"/>
    <w:rPr>
      <w:rFonts w:ascii="Times New Roman" w:hAnsi="Times New Roman"/>
      <w:kern w:val="2"/>
      <w:sz w:val="21"/>
      <w:szCs w:val="24"/>
    </w:rPr>
  </w:style>
  <w:style w:type="character" w:customStyle="1" w:styleId="140">
    <w:name w:val="Comment"/>
    <w:qFormat/>
    <w:uiPriority w:val="0"/>
    <w:rPr>
      <w:vanish/>
    </w:rPr>
  </w:style>
  <w:style w:type="character" w:customStyle="1" w:styleId="141">
    <w:name w:val="font161"/>
    <w:qFormat/>
    <w:uiPriority w:val="0"/>
    <w:rPr>
      <w:b/>
      <w:bCs/>
      <w:sz w:val="32"/>
      <w:szCs w:val="32"/>
    </w:rPr>
  </w:style>
  <w:style w:type="character" w:customStyle="1" w:styleId="142">
    <w:name w:val="副标题 字符"/>
    <w:link w:val="32"/>
    <w:qFormat/>
    <w:uiPriority w:val="0"/>
    <w:rPr>
      <w:rFonts w:ascii="Times New Roman" w:hAnsi="Times New Roman" w:eastAsia="黑体"/>
      <w:bCs/>
      <w:sz w:val="30"/>
      <w:szCs w:val="32"/>
    </w:rPr>
  </w:style>
  <w:style w:type="character" w:customStyle="1" w:styleId="143">
    <w:name w:val="文档结构图 字符"/>
    <w:link w:val="14"/>
    <w:qFormat/>
    <w:uiPriority w:val="99"/>
    <w:rPr>
      <w:rFonts w:ascii="Times New Roman" w:hAnsi="Times New Roman"/>
      <w:kern w:val="2"/>
      <w:sz w:val="21"/>
      <w:szCs w:val="24"/>
      <w:shd w:val="clear" w:color="auto" w:fill="000080"/>
    </w:rPr>
  </w:style>
  <w:style w:type="character" w:customStyle="1" w:styleId="144">
    <w:name w:val="批注主题 Char1"/>
    <w:qFormat/>
    <w:uiPriority w:val="0"/>
    <w:rPr>
      <w:b/>
      <w:bCs/>
      <w:kern w:val="2"/>
      <w:sz w:val="21"/>
      <w:szCs w:val="22"/>
    </w:rPr>
  </w:style>
  <w:style w:type="character" w:customStyle="1" w:styleId="145">
    <w:name w:val="正文文本缩进 3 字符"/>
    <w:link w:val="36"/>
    <w:qFormat/>
    <w:uiPriority w:val="0"/>
    <w:rPr>
      <w:rFonts w:ascii="Times New Roman" w:hAnsi="Times New Roman"/>
      <w:kern w:val="2"/>
      <w:sz w:val="16"/>
      <w:szCs w:val="16"/>
    </w:rPr>
  </w:style>
  <w:style w:type="character" w:customStyle="1" w:styleId="146">
    <w:name w:val="副标题 Char1"/>
    <w:qFormat/>
    <w:uiPriority w:val="11"/>
    <w:rPr>
      <w:rFonts w:ascii="Calibri Light" w:hAnsi="Calibri Light" w:cs="Times New Roman"/>
      <w:b/>
      <w:bCs/>
      <w:kern w:val="28"/>
      <w:sz w:val="32"/>
      <w:szCs w:val="32"/>
    </w:rPr>
  </w:style>
  <w:style w:type="character" w:customStyle="1" w:styleId="147">
    <w:name w:val="textcontents"/>
    <w:qFormat/>
    <w:uiPriority w:val="0"/>
  </w:style>
  <w:style w:type="character" w:customStyle="1" w:styleId="148">
    <w:name w:val="标题 1.1 Char"/>
    <w:qFormat/>
    <w:uiPriority w:val="0"/>
    <w:rPr>
      <w:rFonts w:ascii="Arial" w:hAnsi="Arial" w:eastAsia="黑体"/>
      <w:b/>
      <w:bCs/>
      <w:kern w:val="2"/>
      <w:sz w:val="32"/>
      <w:szCs w:val="32"/>
      <w:lang w:val="en-US" w:eastAsia="zh-CN" w:bidi="ar-SA"/>
    </w:rPr>
  </w:style>
  <w:style w:type="character" w:customStyle="1" w:styleId="149">
    <w:name w:val="批注框文本 Char1"/>
    <w:qFormat/>
    <w:uiPriority w:val="0"/>
    <w:rPr>
      <w:kern w:val="2"/>
      <w:sz w:val="18"/>
      <w:szCs w:val="18"/>
    </w:rPr>
  </w:style>
  <w:style w:type="character" w:customStyle="1" w:styleId="150">
    <w:name w:val="明显强调1"/>
    <w:qFormat/>
    <w:uiPriority w:val="0"/>
    <w:rPr>
      <w:b/>
      <w:bCs/>
      <w:i/>
      <w:iCs/>
      <w:color w:val="4F81BD"/>
    </w:rPr>
  </w:style>
  <w:style w:type="character" w:customStyle="1" w:styleId="151">
    <w:name w:val="标题4 Char Char"/>
    <w:link w:val="152"/>
    <w:qFormat/>
    <w:uiPriority w:val="0"/>
    <w:rPr>
      <w:rFonts w:ascii="Arial" w:hAnsi="Arial"/>
      <w:b/>
      <w:bCs/>
      <w:sz w:val="24"/>
      <w:szCs w:val="32"/>
    </w:rPr>
  </w:style>
  <w:style w:type="paragraph" w:customStyle="1" w:styleId="152">
    <w:name w:val="标题4"/>
    <w:basedOn w:val="3"/>
    <w:next w:val="20"/>
    <w:link w:val="151"/>
    <w:qFormat/>
    <w:uiPriority w:val="0"/>
    <w:pPr>
      <w:spacing w:before="60" w:after="60" w:line="413" w:lineRule="auto"/>
    </w:pPr>
    <w:rPr>
      <w:rFonts w:eastAsiaTheme="minorEastAsia" w:cstheme="minorBidi"/>
      <w:kern w:val="0"/>
      <w:sz w:val="24"/>
    </w:rPr>
  </w:style>
  <w:style w:type="character" w:customStyle="1" w:styleId="153">
    <w:name w:val="批注文字 Char"/>
    <w:qFormat/>
    <w:uiPriority w:val="0"/>
    <w:rPr>
      <w:rFonts w:ascii="Times New Roman" w:hAnsi="Times New Roman"/>
      <w:kern w:val="2"/>
      <w:sz w:val="21"/>
      <w:szCs w:val="24"/>
    </w:rPr>
  </w:style>
  <w:style w:type="character" w:customStyle="1" w:styleId="154">
    <w:name w:val="不明显强调1"/>
    <w:qFormat/>
    <w:uiPriority w:val="0"/>
    <w:rPr>
      <w:i/>
      <w:iCs/>
      <w:color w:val="808080"/>
    </w:rPr>
  </w:style>
  <w:style w:type="character" w:customStyle="1" w:styleId="155">
    <w:name w:val="批注主题 Char2"/>
    <w:basedOn w:val="132"/>
    <w:semiHidden/>
    <w:qFormat/>
    <w:uiPriority w:val="99"/>
    <w:rPr>
      <w:rFonts w:ascii="Times New Roman" w:hAnsi="Times New Roman" w:eastAsia="宋体" w:cs="Times New Roman"/>
      <w:b/>
      <w:bCs/>
      <w:kern w:val="2"/>
      <w:sz w:val="21"/>
      <w:szCs w:val="24"/>
    </w:rPr>
  </w:style>
  <w:style w:type="character" w:customStyle="1" w:styleId="156">
    <w:name w:val="HTML 预设格式 Char1"/>
    <w:basedOn w:val="48"/>
    <w:semiHidden/>
    <w:qFormat/>
    <w:uiPriority w:val="99"/>
    <w:rPr>
      <w:rFonts w:ascii="Courier New" w:hAnsi="Courier New" w:eastAsia="宋体" w:cs="Courier New"/>
      <w:kern w:val="2"/>
    </w:rPr>
  </w:style>
  <w:style w:type="character" w:customStyle="1" w:styleId="157">
    <w:name w:val="正文文本 2 Char1"/>
    <w:basedOn w:val="48"/>
    <w:semiHidden/>
    <w:qFormat/>
    <w:uiPriority w:val="99"/>
    <w:rPr>
      <w:rFonts w:ascii="Times New Roman" w:hAnsi="Times New Roman" w:eastAsia="宋体" w:cs="Times New Roman"/>
      <w:kern w:val="2"/>
      <w:sz w:val="21"/>
      <w:szCs w:val="24"/>
    </w:rPr>
  </w:style>
  <w:style w:type="character" w:customStyle="1" w:styleId="158">
    <w:name w:val="副标题 Char2"/>
    <w:basedOn w:val="48"/>
    <w:qFormat/>
    <w:uiPriority w:val="11"/>
    <w:rPr>
      <w:rFonts w:eastAsia="宋体" w:asciiTheme="majorHAnsi" w:hAnsiTheme="majorHAnsi" w:cstheme="majorBidi"/>
      <w:b/>
      <w:bCs/>
      <w:kern w:val="28"/>
      <w:sz w:val="32"/>
      <w:szCs w:val="32"/>
    </w:rPr>
  </w:style>
  <w:style w:type="character" w:customStyle="1" w:styleId="159">
    <w:name w:val="正文文本缩进 3 Char1"/>
    <w:basedOn w:val="48"/>
    <w:semiHidden/>
    <w:qFormat/>
    <w:uiPriority w:val="99"/>
    <w:rPr>
      <w:rFonts w:ascii="Times New Roman" w:hAnsi="Times New Roman" w:eastAsia="宋体" w:cs="Times New Roman"/>
      <w:kern w:val="2"/>
      <w:sz w:val="16"/>
      <w:szCs w:val="16"/>
    </w:rPr>
  </w:style>
  <w:style w:type="character" w:customStyle="1" w:styleId="160">
    <w:name w:val="文档结构图 Char2"/>
    <w:basedOn w:val="48"/>
    <w:semiHidden/>
    <w:qFormat/>
    <w:uiPriority w:val="99"/>
    <w:rPr>
      <w:rFonts w:ascii="宋体" w:hAnsi="Times New Roman" w:eastAsia="宋体" w:cs="Times New Roman"/>
      <w:kern w:val="2"/>
      <w:sz w:val="18"/>
      <w:szCs w:val="18"/>
    </w:rPr>
  </w:style>
  <w:style w:type="character" w:customStyle="1" w:styleId="161">
    <w:name w:val="脚注文本 Char1"/>
    <w:basedOn w:val="48"/>
    <w:semiHidden/>
    <w:qFormat/>
    <w:uiPriority w:val="99"/>
    <w:rPr>
      <w:rFonts w:ascii="Times New Roman" w:hAnsi="Times New Roman" w:eastAsia="宋体" w:cs="Times New Roman"/>
      <w:kern w:val="2"/>
      <w:sz w:val="18"/>
      <w:szCs w:val="18"/>
    </w:rPr>
  </w:style>
  <w:style w:type="character" w:customStyle="1" w:styleId="162">
    <w:name w:val="正文文本 3 Char1"/>
    <w:basedOn w:val="48"/>
    <w:semiHidden/>
    <w:qFormat/>
    <w:uiPriority w:val="99"/>
    <w:rPr>
      <w:rFonts w:ascii="Times New Roman" w:hAnsi="Times New Roman" w:eastAsia="宋体" w:cs="Times New Roman"/>
      <w:kern w:val="2"/>
      <w:sz w:val="16"/>
      <w:szCs w:val="16"/>
    </w:rPr>
  </w:style>
  <w:style w:type="paragraph" w:customStyle="1" w:styleId="163">
    <w:name w:val="xl68"/>
    <w:basedOn w:val="1"/>
    <w:qFormat/>
    <w:uiPriority w:val="99"/>
    <w:pPr>
      <w:widowControl/>
      <w:pBdr>
        <w:left w:val="single" w:color="auto" w:sz="4" w:space="0"/>
        <w:bottom w:val="single" w:color="auto" w:sz="4" w:space="0"/>
        <w:right w:val="single" w:color="auto" w:sz="4" w:space="0"/>
      </w:pBdr>
      <w:spacing w:before="100" w:beforeAutospacing="1" w:after="100" w:afterAutospacing="1" w:line="400" w:lineRule="exact"/>
      <w:jc w:val="center"/>
    </w:pPr>
    <w:rPr>
      <w:kern w:val="0"/>
      <w:sz w:val="24"/>
    </w:rPr>
  </w:style>
  <w:style w:type="paragraph" w:customStyle="1" w:styleId="164">
    <w:name w:val="TOC 标题1"/>
    <w:basedOn w:val="2"/>
    <w:next w:val="1"/>
    <w:qFormat/>
    <w:uiPriority w:val="0"/>
    <w:pPr>
      <w:widowControl/>
      <w:spacing w:before="480" w:after="0" w:line="276" w:lineRule="auto"/>
      <w:jc w:val="left"/>
      <w:outlineLvl w:val="9"/>
    </w:pPr>
    <w:rPr>
      <w:rFonts w:ascii="Cambria" w:hAnsi="Cambria"/>
      <w:b w:val="0"/>
      <w:color w:val="365F91"/>
      <w:kern w:val="0"/>
      <w:sz w:val="30"/>
      <w:szCs w:val="28"/>
    </w:rPr>
  </w:style>
  <w:style w:type="paragraph" w:customStyle="1" w:styleId="165">
    <w:name w:val="_Style 8"/>
    <w:basedOn w:val="1"/>
    <w:qFormat/>
    <w:uiPriority w:val="0"/>
    <w:pPr>
      <w:widowControl/>
      <w:spacing w:line="400" w:lineRule="exact"/>
      <w:jc w:val="left"/>
    </w:pPr>
    <w:rPr>
      <w:kern w:val="0"/>
      <w:sz w:val="20"/>
      <w:szCs w:val="20"/>
    </w:rPr>
  </w:style>
  <w:style w:type="paragraph" w:customStyle="1" w:styleId="166">
    <w:name w:val="H3"/>
    <w:basedOn w:val="1"/>
    <w:next w:val="1"/>
    <w:qFormat/>
    <w:uiPriority w:val="99"/>
    <w:pPr>
      <w:keepNext/>
      <w:autoSpaceDE w:val="0"/>
      <w:autoSpaceDN w:val="0"/>
      <w:adjustRightInd w:val="0"/>
      <w:spacing w:before="100" w:after="100" w:line="400" w:lineRule="exact"/>
      <w:jc w:val="left"/>
      <w:outlineLvl w:val="3"/>
    </w:pPr>
    <w:rPr>
      <w:b/>
      <w:kern w:val="0"/>
      <w:sz w:val="28"/>
      <w:szCs w:val="20"/>
    </w:rPr>
  </w:style>
  <w:style w:type="paragraph" w:customStyle="1" w:styleId="167">
    <w:name w:val="表格文字"/>
    <w:basedOn w:val="1"/>
    <w:qFormat/>
    <w:uiPriority w:val="0"/>
    <w:pPr>
      <w:adjustRightInd w:val="0"/>
      <w:spacing w:line="420" w:lineRule="atLeast"/>
      <w:jc w:val="left"/>
      <w:textAlignment w:val="baseline"/>
    </w:pPr>
    <w:rPr>
      <w:kern w:val="0"/>
      <w:sz w:val="24"/>
      <w:szCs w:val="20"/>
    </w:rPr>
  </w:style>
  <w:style w:type="paragraph" w:customStyle="1" w:styleId="168">
    <w:name w:val="aa"/>
    <w:basedOn w:val="1"/>
    <w:qFormat/>
    <w:uiPriority w:val="0"/>
    <w:pPr>
      <w:widowControl/>
      <w:spacing w:before="100" w:beforeAutospacing="1" w:after="100" w:afterAutospacing="1" w:line="400" w:lineRule="exact"/>
      <w:jc w:val="left"/>
    </w:pPr>
    <w:rPr>
      <w:rFonts w:ascii="宋体" w:hAnsi="宋体" w:cs="宋体"/>
      <w:kern w:val="0"/>
      <w:sz w:val="24"/>
    </w:rPr>
  </w:style>
  <w:style w:type="paragraph" w:customStyle="1" w:styleId="169">
    <w:name w:val="Preformatted"/>
    <w:basedOn w:val="1"/>
    <w:qFormat/>
    <w:uiPriority w:val="99"/>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spacing w:line="400" w:lineRule="exact"/>
      <w:jc w:val="left"/>
    </w:pPr>
    <w:rPr>
      <w:rFonts w:ascii="Courier New" w:hAnsi="Courier New"/>
      <w:kern w:val="0"/>
      <w:sz w:val="20"/>
      <w:szCs w:val="20"/>
    </w:rPr>
  </w:style>
  <w:style w:type="paragraph" w:customStyle="1" w:styleId="170">
    <w:name w:val="Blockquote"/>
    <w:basedOn w:val="1"/>
    <w:qFormat/>
    <w:uiPriority w:val="0"/>
    <w:pPr>
      <w:autoSpaceDE w:val="0"/>
      <w:autoSpaceDN w:val="0"/>
      <w:adjustRightInd w:val="0"/>
      <w:spacing w:before="100" w:after="100" w:line="400" w:lineRule="exact"/>
      <w:ind w:left="360" w:right="360"/>
      <w:jc w:val="left"/>
    </w:pPr>
    <w:rPr>
      <w:kern w:val="0"/>
      <w:sz w:val="24"/>
      <w:szCs w:val="20"/>
    </w:rPr>
  </w:style>
  <w:style w:type="paragraph" w:customStyle="1" w:styleId="171">
    <w:name w:val="样式 标题 1 + 黑体 三号 非加粗 居中 段前: 6 磅 段后: 6 磅 行距: 固定值 20 磅"/>
    <w:basedOn w:val="2"/>
    <w:qFormat/>
    <w:uiPriority w:val="0"/>
    <w:pPr>
      <w:spacing w:before="120" w:after="120" w:line="400" w:lineRule="exact"/>
    </w:pPr>
    <w:rPr>
      <w:rFonts w:ascii="黑体" w:hAnsi="黑体" w:eastAsia="黑体" w:cs="宋体"/>
      <w:bCs w:val="0"/>
      <w:kern w:val="28"/>
      <w:sz w:val="32"/>
      <w:szCs w:val="20"/>
    </w:rPr>
  </w:style>
  <w:style w:type="paragraph" w:customStyle="1" w:styleId="172">
    <w:name w:val="目录"/>
    <w:basedOn w:val="1"/>
    <w:qFormat/>
    <w:uiPriority w:val="99"/>
    <w:pPr>
      <w:widowControl/>
      <w:spacing w:line="400" w:lineRule="exact"/>
      <w:jc w:val="center"/>
    </w:pPr>
    <w:rPr>
      <w:rFonts w:ascii="宋体"/>
      <w:b/>
      <w:kern w:val="0"/>
      <w:sz w:val="36"/>
      <w:szCs w:val="20"/>
    </w:rPr>
  </w:style>
  <w:style w:type="paragraph" w:customStyle="1" w:styleId="173">
    <w:name w:val="菲页1"/>
    <w:basedOn w:val="3"/>
    <w:qFormat/>
    <w:uiPriority w:val="99"/>
    <w:pPr>
      <w:keepNext w:val="0"/>
      <w:widowControl/>
      <w:tabs>
        <w:tab w:val="left" w:pos="840"/>
      </w:tabs>
      <w:ind w:left="840" w:hanging="420"/>
    </w:pPr>
    <w:rPr>
      <w:rFonts w:ascii="黑体" w:hAnsi="宋体"/>
      <w:b w:val="0"/>
      <w:bCs w:val="0"/>
      <w:kern w:val="0"/>
      <w:sz w:val="52"/>
      <w:szCs w:val="20"/>
    </w:rPr>
  </w:style>
  <w:style w:type="paragraph" w:customStyle="1" w:styleId="174">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75">
    <w:name w:val="H1"/>
    <w:basedOn w:val="1"/>
    <w:next w:val="1"/>
    <w:qFormat/>
    <w:uiPriority w:val="99"/>
    <w:pPr>
      <w:keepNext/>
      <w:autoSpaceDE w:val="0"/>
      <w:autoSpaceDN w:val="0"/>
      <w:adjustRightInd w:val="0"/>
      <w:spacing w:before="100" w:after="100" w:line="400" w:lineRule="exact"/>
      <w:jc w:val="left"/>
      <w:outlineLvl w:val="1"/>
    </w:pPr>
    <w:rPr>
      <w:b/>
      <w:kern w:val="36"/>
      <w:sz w:val="48"/>
      <w:szCs w:val="20"/>
    </w:rPr>
  </w:style>
  <w:style w:type="paragraph" w:customStyle="1" w:styleId="176">
    <w:name w:val="菲页(卷)"/>
    <w:basedOn w:val="2"/>
    <w:next w:val="64"/>
    <w:qFormat/>
    <w:uiPriority w:val="99"/>
    <w:pPr>
      <w:keepLines w:val="0"/>
      <w:widowControl/>
      <w:numPr>
        <w:ilvl w:val="0"/>
        <w:numId w:val="2"/>
      </w:numPr>
      <w:tabs>
        <w:tab w:val="left" w:pos="1460"/>
      </w:tabs>
      <w:spacing w:before="120" w:after="0" w:line="240" w:lineRule="auto"/>
      <w:outlineLvl w:val="1"/>
    </w:pPr>
    <w:rPr>
      <w:rFonts w:ascii="黑体" w:eastAsia="黑体"/>
      <w:b w:val="0"/>
      <w:bCs w:val="0"/>
      <w:kern w:val="0"/>
      <w:sz w:val="52"/>
      <w:szCs w:val="20"/>
    </w:rPr>
  </w:style>
  <w:style w:type="paragraph" w:customStyle="1" w:styleId="177">
    <w:name w:val="6'"/>
    <w:basedOn w:val="1"/>
    <w:qFormat/>
    <w:uiPriority w:val="0"/>
    <w:pPr>
      <w:autoSpaceDE w:val="0"/>
      <w:autoSpaceDN w:val="0"/>
      <w:adjustRightInd w:val="0"/>
      <w:snapToGrid w:val="0"/>
      <w:spacing w:line="320" w:lineRule="exact"/>
      <w:jc w:val="center"/>
      <w:textAlignment w:val="baseline"/>
    </w:pPr>
    <w:rPr>
      <w:spacing w:val="20"/>
      <w:kern w:val="28"/>
      <w:sz w:val="24"/>
      <w:szCs w:val="20"/>
    </w:rPr>
  </w:style>
  <w:style w:type="paragraph" w:customStyle="1" w:styleId="178">
    <w:name w:val="Char"/>
    <w:basedOn w:val="1"/>
    <w:qFormat/>
    <w:uiPriority w:val="0"/>
    <w:pPr>
      <w:spacing w:line="400" w:lineRule="exact"/>
    </w:pPr>
    <w:rPr>
      <w:rFonts w:ascii="Tahoma" w:hAnsi="Tahoma"/>
      <w:sz w:val="24"/>
      <w:szCs w:val="20"/>
    </w:rPr>
  </w:style>
  <w:style w:type="paragraph" w:customStyle="1" w:styleId="179">
    <w:name w:val="样式 标题 3 + (中文) 黑体 小四 非加粗 段前: 7.8 磅 段后: 0 磅 行距: 固定值 20 磅"/>
    <w:basedOn w:val="4"/>
    <w:qFormat/>
    <w:uiPriority w:val="0"/>
    <w:rPr>
      <w:rFonts w:cs="宋体"/>
      <w:b/>
      <w:bCs w:val="0"/>
      <w:szCs w:val="20"/>
    </w:rPr>
  </w:style>
  <w:style w:type="paragraph" w:customStyle="1" w:styleId="180">
    <w:name w:val="H6"/>
    <w:basedOn w:val="1"/>
    <w:next w:val="1"/>
    <w:qFormat/>
    <w:uiPriority w:val="99"/>
    <w:pPr>
      <w:keepNext/>
      <w:autoSpaceDE w:val="0"/>
      <w:autoSpaceDN w:val="0"/>
      <w:adjustRightInd w:val="0"/>
      <w:spacing w:before="100" w:after="100" w:line="400" w:lineRule="exact"/>
      <w:jc w:val="left"/>
      <w:outlineLvl w:val="6"/>
    </w:pPr>
    <w:rPr>
      <w:b/>
      <w:kern w:val="0"/>
      <w:sz w:val="16"/>
      <w:szCs w:val="20"/>
    </w:rPr>
  </w:style>
  <w:style w:type="paragraph" w:customStyle="1" w:styleId="181">
    <w:name w:val="默认段落字体 Para Char Char Char Char Char Char Char Char Char1 Char Char Char Char Char Char Char"/>
    <w:basedOn w:val="14"/>
    <w:qFormat/>
    <w:uiPriority w:val="0"/>
    <w:rPr>
      <w:rFonts w:ascii="Tahoma" w:hAnsi="Tahoma"/>
    </w:rPr>
  </w:style>
  <w:style w:type="paragraph" w:customStyle="1" w:styleId="182">
    <w:name w:val="样式1"/>
    <w:basedOn w:val="1"/>
    <w:qFormat/>
    <w:uiPriority w:val="0"/>
    <w:pPr>
      <w:spacing w:before="120" w:after="120" w:line="300" w:lineRule="auto"/>
    </w:pPr>
    <w:rPr>
      <w:rFonts w:ascii="宋体" w:hAnsi="宋体"/>
      <w:b/>
      <w:sz w:val="24"/>
      <w:szCs w:val="20"/>
    </w:rPr>
  </w:style>
  <w:style w:type="paragraph" w:customStyle="1" w:styleId="183">
    <w:name w:val="H5"/>
    <w:basedOn w:val="1"/>
    <w:next w:val="1"/>
    <w:qFormat/>
    <w:uiPriority w:val="99"/>
    <w:pPr>
      <w:keepNext/>
      <w:autoSpaceDE w:val="0"/>
      <w:autoSpaceDN w:val="0"/>
      <w:adjustRightInd w:val="0"/>
      <w:spacing w:before="100" w:after="100" w:line="400" w:lineRule="exact"/>
      <w:jc w:val="left"/>
      <w:outlineLvl w:val="5"/>
    </w:pPr>
    <w:rPr>
      <w:b/>
      <w:kern w:val="0"/>
      <w:sz w:val="20"/>
      <w:szCs w:val="20"/>
    </w:rPr>
  </w:style>
  <w:style w:type="character" w:customStyle="1" w:styleId="184">
    <w:name w:val="引用 Char2"/>
    <w:basedOn w:val="48"/>
    <w:semiHidden/>
    <w:qFormat/>
    <w:uiPriority w:val="99"/>
    <w:rPr>
      <w:rFonts w:ascii="Times New Roman" w:hAnsi="Times New Roman" w:eastAsia="宋体" w:cs="Times New Roman"/>
      <w:i/>
      <w:iCs/>
      <w:color w:val="000000" w:themeColor="text1"/>
      <w:kern w:val="2"/>
      <w:sz w:val="21"/>
      <w:szCs w:val="24"/>
      <w14:textFill>
        <w14:solidFill>
          <w14:schemeClr w14:val="tx1"/>
        </w14:solidFill>
      </w14:textFill>
    </w:rPr>
  </w:style>
  <w:style w:type="paragraph" w:customStyle="1" w:styleId="185">
    <w:name w:val="Char Char1 Char Char Char"/>
    <w:basedOn w:val="1"/>
    <w:qFormat/>
    <w:uiPriority w:val="99"/>
    <w:pPr>
      <w:spacing w:line="400" w:lineRule="exact"/>
    </w:pPr>
    <w:rPr>
      <w:kern w:val="0"/>
      <w:sz w:val="20"/>
      <w:szCs w:val="20"/>
    </w:rPr>
  </w:style>
  <w:style w:type="paragraph" w:customStyle="1" w:styleId="186">
    <w:name w:val="z-Bottom of Form"/>
    <w:next w:val="1"/>
    <w:qFormat/>
    <w:uiPriority w:val="99"/>
    <w:pPr>
      <w:widowControl w:val="0"/>
      <w:pBdr>
        <w:top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87">
    <w:name w:val="表格"/>
    <w:basedOn w:val="1"/>
    <w:qFormat/>
    <w:uiPriority w:val="0"/>
    <w:pPr>
      <w:spacing w:line="400" w:lineRule="exact"/>
      <w:jc w:val="center"/>
      <w:textAlignment w:val="center"/>
    </w:pPr>
    <w:rPr>
      <w:rFonts w:ascii="华文细黑" w:hAnsi="华文细黑"/>
      <w:kern w:val="0"/>
      <w:sz w:val="24"/>
      <w:szCs w:val="20"/>
    </w:rPr>
  </w:style>
  <w:style w:type="paragraph" w:customStyle="1" w:styleId="188">
    <w:name w:val="H4"/>
    <w:basedOn w:val="1"/>
    <w:next w:val="1"/>
    <w:qFormat/>
    <w:uiPriority w:val="99"/>
    <w:pPr>
      <w:keepNext/>
      <w:autoSpaceDE w:val="0"/>
      <w:autoSpaceDN w:val="0"/>
      <w:adjustRightInd w:val="0"/>
      <w:spacing w:before="100" w:after="100" w:line="400" w:lineRule="exact"/>
      <w:jc w:val="left"/>
      <w:outlineLvl w:val="4"/>
    </w:pPr>
    <w:rPr>
      <w:b/>
      <w:kern w:val="0"/>
      <w:sz w:val="24"/>
      <w:szCs w:val="20"/>
    </w:rPr>
  </w:style>
  <w:style w:type="paragraph" w:customStyle="1" w:styleId="189">
    <w:name w:val="修订1"/>
    <w:qFormat/>
    <w:uiPriority w:val="0"/>
    <w:rPr>
      <w:rFonts w:ascii="Times New Roman" w:hAnsi="Times New Roman" w:eastAsia="宋体" w:cs="Times New Roman"/>
      <w:kern w:val="2"/>
      <w:sz w:val="21"/>
      <w:szCs w:val="24"/>
      <w:lang w:val="en-US" w:eastAsia="zh-CN" w:bidi="ar-SA"/>
    </w:rPr>
  </w:style>
  <w:style w:type="paragraph" w:customStyle="1" w:styleId="190">
    <w:name w:val="菲页2"/>
    <w:basedOn w:val="4"/>
    <w:qFormat/>
    <w:uiPriority w:val="99"/>
    <w:pPr>
      <w:widowControl/>
      <w:tabs>
        <w:tab w:val="left" w:pos="1460"/>
      </w:tabs>
      <w:spacing w:after="120" w:line="360" w:lineRule="auto"/>
      <w:ind w:left="1460" w:hanging="900"/>
      <w:jc w:val="center"/>
    </w:pPr>
    <w:rPr>
      <w:rFonts w:ascii="黑体" w:hAnsi="宋体"/>
      <w:bCs w:val="0"/>
      <w:kern w:val="0"/>
      <w:sz w:val="44"/>
      <w:szCs w:val="20"/>
    </w:rPr>
  </w:style>
  <w:style w:type="paragraph" w:customStyle="1" w:styleId="191">
    <w:name w:val="空半行"/>
    <w:basedOn w:val="1"/>
    <w:qFormat/>
    <w:uiPriority w:val="0"/>
    <w:pPr>
      <w:adjustRightInd w:val="0"/>
      <w:spacing w:line="120" w:lineRule="exact"/>
      <w:textAlignment w:val="baseline"/>
    </w:pPr>
    <w:rPr>
      <w:rFonts w:eastAsia="仿宋_GB2312"/>
      <w:color w:val="FFFFFF"/>
      <w:kern w:val="0"/>
      <w:sz w:val="30"/>
      <w:szCs w:val="20"/>
    </w:rPr>
  </w:style>
  <w:style w:type="paragraph" w:customStyle="1" w:styleId="192">
    <w:name w:val="1"/>
    <w:basedOn w:val="1"/>
    <w:qFormat/>
    <w:uiPriority w:val="0"/>
    <w:pPr>
      <w:spacing w:line="400" w:lineRule="exact"/>
    </w:pPr>
    <w:rPr>
      <w:sz w:val="24"/>
    </w:rPr>
  </w:style>
  <w:style w:type="paragraph" w:customStyle="1" w:styleId="193">
    <w:name w:val="目录文字"/>
    <w:basedOn w:val="1"/>
    <w:qFormat/>
    <w:uiPriority w:val="99"/>
    <w:pPr>
      <w:widowControl/>
      <w:spacing w:line="480" w:lineRule="auto"/>
      <w:jc w:val="left"/>
    </w:pPr>
    <w:rPr>
      <w:rFonts w:ascii="宋体" w:hAnsi="宋体"/>
      <w:kern w:val="0"/>
      <w:sz w:val="24"/>
      <w:szCs w:val="20"/>
    </w:rPr>
  </w:style>
  <w:style w:type="paragraph" w:customStyle="1" w:styleId="194">
    <w:name w:val="z-Top of Form"/>
    <w:next w:val="1"/>
    <w:qFormat/>
    <w:uiPriority w:val="99"/>
    <w:pPr>
      <w:widowControl w:val="0"/>
      <w:pBdr>
        <w:bottom w:val="double" w:color="000000" w:sz="2" w:space="0"/>
      </w:pBdr>
      <w:autoSpaceDE w:val="0"/>
      <w:autoSpaceDN w:val="0"/>
      <w:adjustRightInd w:val="0"/>
      <w:jc w:val="center"/>
    </w:pPr>
    <w:rPr>
      <w:rFonts w:ascii="Arial" w:hAnsi="Arial" w:eastAsia="宋体" w:cs="Times New Roman"/>
      <w:vanish/>
      <w:sz w:val="16"/>
      <w:lang w:val="en-US" w:eastAsia="zh-CN" w:bidi="ar-SA"/>
    </w:rPr>
  </w:style>
  <w:style w:type="paragraph" w:customStyle="1" w:styleId="195">
    <w:name w:val="Address"/>
    <w:basedOn w:val="1"/>
    <w:next w:val="1"/>
    <w:qFormat/>
    <w:uiPriority w:val="99"/>
    <w:pPr>
      <w:autoSpaceDE w:val="0"/>
      <w:autoSpaceDN w:val="0"/>
      <w:adjustRightInd w:val="0"/>
      <w:spacing w:line="400" w:lineRule="exact"/>
      <w:jc w:val="left"/>
    </w:pPr>
    <w:rPr>
      <w:i/>
      <w:kern w:val="0"/>
      <w:sz w:val="24"/>
      <w:szCs w:val="20"/>
    </w:rPr>
  </w:style>
  <w:style w:type="paragraph" w:customStyle="1" w:styleId="196">
    <w:name w:val="Definition Term"/>
    <w:basedOn w:val="1"/>
    <w:next w:val="197"/>
    <w:qFormat/>
    <w:uiPriority w:val="99"/>
    <w:pPr>
      <w:autoSpaceDE w:val="0"/>
      <w:autoSpaceDN w:val="0"/>
      <w:adjustRightInd w:val="0"/>
      <w:spacing w:line="400" w:lineRule="exact"/>
      <w:jc w:val="left"/>
    </w:pPr>
    <w:rPr>
      <w:kern w:val="0"/>
      <w:sz w:val="24"/>
      <w:szCs w:val="20"/>
    </w:rPr>
  </w:style>
  <w:style w:type="paragraph" w:customStyle="1" w:styleId="197">
    <w:name w:val="Definition List"/>
    <w:basedOn w:val="1"/>
    <w:next w:val="196"/>
    <w:qFormat/>
    <w:uiPriority w:val="0"/>
    <w:pPr>
      <w:autoSpaceDE w:val="0"/>
      <w:autoSpaceDN w:val="0"/>
      <w:adjustRightInd w:val="0"/>
      <w:spacing w:line="400" w:lineRule="exact"/>
      <w:ind w:left="360"/>
      <w:jc w:val="left"/>
    </w:pPr>
    <w:rPr>
      <w:kern w:val="0"/>
      <w:sz w:val="24"/>
      <w:szCs w:val="20"/>
    </w:rPr>
  </w:style>
  <w:style w:type="paragraph" w:customStyle="1" w:styleId="198">
    <w:name w:val="样式 标题 2 + Times New Roman 四号 非加粗 段前: 5 磅 段后: 0 磅 行距: 固定值 20..."/>
    <w:basedOn w:val="3"/>
    <w:qFormat/>
    <w:uiPriority w:val="0"/>
    <w:pPr>
      <w:keepNext w:val="0"/>
      <w:tabs>
        <w:tab w:val="left" w:pos="840"/>
      </w:tabs>
      <w:spacing w:before="100" w:after="0" w:line="400" w:lineRule="exact"/>
      <w:ind w:left="840" w:hanging="420"/>
    </w:pPr>
    <w:rPr>
      <w:rFonts w:ascii="Times New Roman" w:hAnsi="Times New Roman" w:cs="宋体"/>
      <w:bCs w:val="0"/>
      <w:sz w:val="28"/>
      <w:szCs w:val="20"/>
    </w:rPr>
  </w:style>
  <w:style w:type="paragraph" w:customStyle="1" w:styleId="199">
    <w:name w:val="H2"/>
    <w:basedOn w:val="1"/>
    <w:next w:val="1"/>
    <w:qFormat/>
    <w:uiPriority w:val="99"/>
    <w:pPr>
      <w:keepNext/>
      <w:autoSpaceDE w:val="0"/>
      <w:autoSpaceDN w:val="0"/>
      <w:adjustRightInd w:val="0"/>
      <w:spacing w:before="100" w:after="100" w:line="400" w:lineRule="exact"/>
      <w:jc w:val="left"/>
      <w:outlineLvl w:val="2"/>
    </w:pPr>
    <w:rPr>
      <w:b/>
      <w:kern w:val="0"/>
      <w:sz w:val="36"/>
      <w:szCs w:val="20"/>
    </w:rPr>
  </w:style>
  <w:style w:type="paragraph" w:customStyle="1" w:styleId="200">
    <w:name w:val="Char Char3 Char Char"/>
    <w:basedOn w:val="3"/>
    <w:next w:val="1"/>
    <w:qFormat/>
    <w:uiPriority w:val="0"/>
    <w:pPr>
      <w:keepNext w:val="0"/>
      <w:tabs>
        <w:tab w:val="left" w:pos="840"/>
      </w:tabs>
      <w:snapToGrid w:val="0"/>
      <w:spacing w:before="120" w:after="120" w:line="240" w:lineRule="auto"/>
      <w:ind w:left="840" w:hanging="420"/>
      <w:jc w:val="left"/>
    </w:pPr>
    <w:rPr>
      <w:bCs w:val="0"/>
      <w:szCs w:val="20"/>
    </w:rPr>
  </w:style>
  <w:style w:type="character" w:customStyle="1" w:styleId="201">
    <w:name w:val="明显引用 Char2"/>
    <w:basedOn w:val="48"/>
    <w:semiHidden/>
    <w:qFormat/>
    <w:uiPriority w:val="99"/>
    <w:rPr>
      <w:rFonts w:ascii="Times New Roman" w:hAnsi="Times New Roman" w:eastAsia="宋体" w:cs="Times New Roman"/>
      <w:b/>
      <w:bCs/>
      <w:i/>
      <w:iCs/>
      <w:color w:val="4874CB" w:themeColor="accent1"/>
      <w:kern w:val="2"/>
      <w:sz w:val="21"/>
      <w:szCs w:val="24"/>
      <w14:textFill>
        <w14:solidFill>
          <w14:schemeClr w14:val="accent1"/>
        </w14:solidFill>
      </w14:textFill>
    </w:rPr>
  </w:style>
  <w:style w:type="paragraph" w:customStyle="1" w:styleId="202">
    <w:name w:val="Char Char Char"/>
    <w:basedOn w:val="1"/>
    <w:qFormat/>
    <w:uiPriority w:val="0"/>
    <w:pPr>
      <w:adjustRightInd w:val="0"/>
      <w:spacing w:line="360" w:lineRule="auto"/>
    </w:pPr>
    <w:rPr>
      <w:kern w:val="0"/>
      <w:sz w:val="20"/>
      <w:szCs w:val="20"/>
    </w:rPr>
  </w:style>
  <w:style w:type="table" w:customStyle="1" w:styleId="203">
    <w:name w:val="网格型3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4">
    <w:name w:val="网格型6"/>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5">
    <w:name w:val="网格型11"/>
    <w:basedOn w:val="46"/>
    <w:qFormat/>
    <w:uiPriority w:val="0"/>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06">
    <w:name w:val="网格型5"/>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7">
    <w:name w:val="网格型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8">
    <w:name w:val="网格型2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09">
    <w:name w:val="网格型7"/>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0">
    <w:name w:val="网格型1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1">
    <w:name w:val="网格型3"/>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2">
    <w:name w:val="网格型13"/>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3">
    <w:name w:val="网格型2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4">
    <w:name w:val="网格型1"/>
    <w:basedOn w:val="46"/>
    <w:qFormat/>
    <w:uiPriority w:val="39"/>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customStyle="1" w:styleId="215">
    <w:name w:val="网格型4"/>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6">
    <w:name w:val="网格型3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7">
    <w:name w:val="网格型41"/>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218">
    <w:name w:val="网格型42"/>
    <w:basedOn w:val="4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19">
    <w:name w:val="正文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0">
    <w:name w:val="正文_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1">
    <w:name w:val="正文_0_0"/>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22">
    <w:name w:val="标题 4_0"/>
    <w:basedOn w:val="219"/>
    <w:next w:val="219"/>
    <w:link w:val="223"/>
    <w:qFormat/>
    <w:uiPriority w:val="0"/>
    <w:pPr>
      <w:keepNext/>
      <w:keepLines/>
      <w:spacing w:before="280" w:after="290" w:line="372" w:lineRule="auto"/>
      <w:outlineLvl w:val="3"/>
    </w:pPr>
    <w:rPr>
      <w:rFonts w:ascii="Cambria" w:hAnsi="Cambria"/>
      <w:b/>
      <w:bCs/>
      <w:sz w:val="28"/>
      <w:szCs w:val="28"/>
    </w:rPr>
  </w:style>
  <w:style w:type="character" w:customStyle="1" w:styleId="223">
    <w:name w:val="标题 4 Char_0"/>
    <w:link w:val="222"/>
    <w:qFormat/>
    <w:uiPriority w:val="0"/>
    <w:rPr>
      <w:rFonts w:ascii="Cambria" w:hAnsi="Cambria" w:eastAsia="宋体" w:cs="Times New Roman"/>
      <w:b/>
      <w:bCs/>
      <w:kern w:val="2"/>
      <w:sz w:val="28"/>
      <w:szCs w:val="28"/>
    </w:rPr>
  </w:style>
  <w:style w:type="paragraph" w:customStyle="1" w:styleId="224">
    <w:name w:val="正文文本_0"/>
    <w:basedOn w:val="219"/>
    <w:link w:val="225"/>
    <w:qFormat/>
    <w:uiPriority w:val="0"/>
    <w:pPr>
      <w:spacing w:line="400" w:lineRule="exact"/>
    </w:pPr>
    <w:rPr>
      <w:rFonts w:ascii="仿宋_GB2312" w:eastAsia="仿宋_GB2312"/>
      <w:sz w:val="24"/>
    </w:rPr>
  </w:style>
  <w:style w:type="character" w:customStyle="1" w:styleId="225">
    <w:name w:val="正文文本 Char_0"/>
    <w:link w:val="224"/>
    <w:qFormat/>
    <w:uiPriority w:val="0"/>
    <w:rPr>
      <w:rFonts w:ascii="仿宋_GB2312" w:hAnsi="Times New Roman" w:eastAsia="仿宋_GB2312" w:cs="Times New Roman"/>
      <w:kern w:val="2"/>
      <w:sz w:val="24"/>
      <w:szCs w:val="24"/>
    </w:rPr>
  </w:style>
  <w:style w:type="paragraph" w:customStyle="1" w:styleId="226">
    <w:name w:val="正文_2"/>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7">
    <w:name w:val="标题 1_0"/>
    <w:basedOn w:val="226"/>
    <w:next w:val="226"/>
    <w:link w:val="228"/>
    <w:qFormat/>
    <w:uiPriority w:val="0"/>
    <w:pPr>
      <w:keepNext/>
      <w:keepLines/>
      <w:spacing w:before="340" w:after="330" w:line="578" w:lineRule="auto"/>
      <w:outlineLvl w:val="0"/>
    </w:pPr>
    <w:rPr>
      <w:rFonts w:ascii="Times New Roman" w:hAnsi="Times New Roman"/>
      <w:b/>
      <w:bCs/>
      <w:kern w:val="44"/>
      <w:sz w:val="44"/>
      <w:szCs w:val="44"/>
    </w:rPr>
  </w:style>
  <w:style w:type="character" w:customStyle="1" w:styleId="228">
    <w:name w:val="标题 1 Char_0"/>
    <w:link w:val="227"/>
    <w:qFormat/>
    <w:uiPriority w:val="0"/>
    <w:rPr>
      <w:rFonts w:ascii="Times New Roman" w:hAnsi="Times New Roman" w:eastAsia="宋体" w:cs="Times New Roman"/>
      <w:b/>
      <w:bCs/>
      <w:kern w:val="44"/>
      <w:sz w:val="44"/>
      <w:szCs w:val="44"/>
    </w:rPr>
  </w:style>
  <w:style w:type="paragraph" w:customStyle="1" w:styleId="229">
    <w:name w:val="正文_1_0"/>
    <w:qFormat/>
    <w:uiPriority w:val="0"/>
    <w:pPr>
      <w:widowControl w:val="0"/>
      <w:jc w:val="both"/>
    </w:pPr>
    <w:rPr>
      <w:rFonts w:ascii="Times New Roman" w:hAnsi="Times New Roman" w:eastAsia="宋体" w:cs="Times New Roman"/>
      <w:kern w:val="2"/>
      <w:sz w:val="21"/>
      <w:szCs w:val="22"/>
      <w:lang w:val="en-US" w:eastAsia="zh-CN" w:bidi="ar-SA"/>
    </w:rPr>
  </w:style>
  <w:style w:type="character" w:customStyle="1" w:styleId="230">
    <w:name w:val="Char Char6"/>
    <w:qFormat/>
    <w:uiPriority w:val="0"/>
    <w:rPr>
      <w:rFonts w:eastAsia="宋体"/>
      <w:b/>
      <w:bCs/>
      <w:kern w:val="44"/>
      <w:sz w:val="32"/>
      <w:szCs w:val="44"/>
      <w:lang w:val="en-US" w:eastAsia="zh-CN" w:bidi="ar-SA"/>
    </w:rPr>
  </w:style>
  <w:style w:type="character" w:customStyle="1" w:styleId="231">
    <w:name w:val="Heading 3 Char"/>
    <w:qFormat/>
    <w:uiPriority w:val="0"/>
    <w:rPr>
      <w:rFonts w:cs="Times New Roman"/>
      <w:b/>
      <w:bCs/>
      <w:kern w:val="2"/>
      <w:sz w:val="32"/>
      <w:szCs w:val="32"/>
    </w:rPr>
  </w:style>
  <w:style w:type="character" w:customStyle="1" w:styleId="232">
    <w:name w:val="标题 Char1"/>
    <w:qFormat/>
    <w:uiPriority w:val="10"/>
    <w:rPr>
      <w:rFonts w:ascii="Cambria" w:hAnsi="Cambria" w:eastAsia="宋体" w:cs="Times New Roman"/>
      <w:b/>
      <w:bCs/>
      <w:sz w:val="32"/>
      <w:szCs w:val="32"/>
    </w:rPr>
  </w:style>
  <w:style w:type="character" w:customStyle="1" w:styleId="233">
    <w:name w:val="Heading 2 Char"/>
    <w:qFormat/>
    <w:uiPriority w:val="0"/>
    <w:rPr>
      <w:rFonts w:ascii="Arial" w:hAnsi="Arial" w:eastAsia="黑体"/>
      <w:b/>
      <w:bCs/>
      <w:kern w:val="2"/>
      <w:sz w:val="32"/>
      <w:szCs w:val="32"/>
      <w:lang w:val="en-US" w:eastAsia="zh-CN" w:bidi="ar-SA"/>
    </w:rPr>
  </w:style>
  <w:style w:type="character" w:customStyle="1" w:styleId="234">
    <w:name w:val="Title Char"/>
    <w:qFormat/>
    <w:uiPriority w:val="0"/>
    <w:rPr>
      <w:rFonts w:ascii="Cambria" w:hAnsi="Cambria"/>
      <w:b/>
      <w:sz w:val="32"/>
      <w:lang w:bidi="ar-SA"/>
    </w:rPr>
  </w:style>
  <w:style w:type="character" w:customStyle="1" w:styleId="235">
    <w:name w:val="Heading 5 Char"/>
    <w:qFormat/>
    <w:uiPriority w:val="0"/>
    <w:rPr>
      <w:rFonts w:eastAsia="宋体"/>
      <w:b/>
      <w:bCs/>
      <w:kern w:val="2"/>
      <w:sz w:val="28"/>
      <w:szCs w:val="28"/>
      <w:lang w:val="en-US" w:eastAsia="zh-CN" w:bidi="ar-SA"/>
    </w:rPr>
  </w:style>
  <w:style w:type="character" w:customStyle="1" w:styleId="236">
    <w:name w:val="Footnote Text Char"/>
    <w:qFormat/>
    <w:uiPriority w:val="0"/>
    <w:rPr>
      <w:rFonts w:eastAsia="宋体"/>
      <w:sz w:val="18"/>
      <w:lang w:val="en-US" w:eastAsia="zh-CN" w:bidi="ar-SA"/>
    </w:rPr>
  </w:style>
  <w:style w:type="character" w:customStyle="1" w:styleId="237">
    <w:name w:val="Balloon Text Char"/>
    <w:qFormat/>
    <w:uiPriority w:val="0"/>
    <w:rPr>
      <w:sz w:val="18"/>
      <w:lang w:bidi="ar-SA"/>
    </w:rPr>
  </w:style>
  <w:style w:type="character" w:customStyle="1" w:styleId="238">
    <w:name w:val="Date Char"/>
    <w:qFormat/>
    <w:uiPriority w:val="0"/>
    <w:rPr>
      <w:rFonts w:eastAsia="宋体"/>
      <w:kern w:val="2"/>
      <w:sz w:val="21"/>
      <w:szCs w:val="24"/>
      <w:lang w:val="en-US" w:eastAsia="zh-CN" w:bidi="ar-SA"/>
    </w:rPr>
  </w:style>
  <w:style w:type="character" w:customStyle="1" w:styleId="239">
    <w:name w:val="标题 3 Char1"/>
    <w:qFormat/>
    <w:uiPriority w:val="0"/>
    <w:rPr>
      <w:rFonts w:ascii="Calibri" w:hAnsi="Calibri" w:eastAsia="宋体" w:cs="Arial"/>
      <w:b/>
      <w:kern w:val="0"/>
      <w:sz w:val="32"/>
      <w:szCs w:val="20"/>
    </w:rPr>
  </w:style>
  <w:style w:type="character" w:customStyle="1" w:styleId="240">
    <w:name w:val="Heading 1 Char"/>
    <w:qFormat/>
    <w:uiPriority w:val="0"/>
    <w:rPr>
      <w:rFonts w:eastAsia="宋体"/>
      <w:b/>
      <w:bCs/>
      <w:kern w:val="44"/>
      <w:sz w:val="32"/>
      <w:szCs w:val="44"/>
      <w:lang w:val="en-US" w:eastAsia="zh-CN" w:bidi="ar-SA"/>
    </w:rPr>
  </w:style>
  <w:style w:type="character" w:customStyle="1" w:styleId="241">
    <w:name w:val="Body Text Indent 2 Char"/>
    <w:qFormat/>
    <w:uiPriority w:val="0"/>
    <w:rPr>
      <w:rFonts w:eastAsia="宋体"/>
      <w:kern w:val="2"/>
      <w:sz w:val="21"/>
      <w:szCs w:val="24"/>
      <w:lang w:val="en-US" w:eastAsia="zh-CN" w:bidi="ar-SA"/>
    </w:rPr>
  </w:style>
  <w:style w:type="character" w:customStyle="1" w:styleId="242">
    <w:name w:val="标题 Char2"/>
    <w:qFormat/>
    <w:uiPriority w:val="0"/>
    <w:rPr>
      <w:rFonts w:ascii="Cambria" w:hAnsi="Cambria" w:eastAsia="宋体" w:cs="Times New Roman"/>
      <w:b/>
      <w:bCs/>
      <w:sz w:val="32"/>
      <w:szCs w:val="32"/>
    </w:rPr>
  </w:style>
  <w:style w:type="character" w:customStyle="1" w:styleId="243">
    <w:name w:val="Char Char91"/>
    <w:qFormat/>
    <w:uiPriority w:val="0"/>
    <w:rPr>
      <w:rFonts w:eastAsia="宋体"/>
      <w:b/>
      <w:bCs/>
      <w:kern w:val="44"/>
      <w:sz w:val="32"/>
      <w:szCs w:val="44"/>
      <w:lang w:val="en-US" w:eastAsia="zh-CN" w:bidi="ar-SA"/>
    </w:rPr>
  </w:style>
  <w:style w:type="character" w:customStyle="1" w:styleId="244">
    <w:name w:val="Char Char19"/>
    <w:qFormat/>
    <w:uiPriority w:val="0"/>
    <w:rPr>
      <w:rFonts w:ascii="Arial" w:hAnsi="Arial" w:eastAsia="宋体" w:cs="Times New Roman"/>
      <w:b/>
      <w:bCs/>
      <w:szCs w:val="28"/>
    </w:rPr>
  </w:style>
  <w:style w:type="character" w:customStyle="1" w:styleId="245">
    <w:name w:val="Footer Char"/>
    <w:qFormat/>
    <w:uiPriority w:val="0"/>
    <w:rPr>
      <w:rFonts w:eastAsia="宋体"/>
      <w:kern w:val="2"/>
      <w:sz w:val="18"/>
      <w:szCs w:val="18"/>
      <w:lang w:val="en-US" w:eastAsia="zh-CN" w:bidi="ar-SA"/>
    </w:rPr>
  </w:style>
  <w:style w:type="character" w:customStyle="1" w:styleId="246">
    <w:name w:val="Header Char"/>
    <w:qFormat/>
    <w:uiPriority w:val="0"/>
    <w:rPr>
      <w:rFonts w:eastAsia="宋体"/>
      <w:kern w:val="2"/>
      <w:sz w:val="18"/>
      <w:szCs w:val="18"/>
      <w:lang w:val="en-US" w:eastAsia="zh-CN" w:bidi="ar-SA"/>
    </w:rPr>
  </w:style>
  <w:style w:type="character" w:customStyle="1" w:styleId="247">
    <w:name w:val="Body Text Indent Char"/>
    <w:qFormat/>
    <w:uiPriority w:val="0"/>
    <w:rPr>
      <w:rFonts w:ascii="宋体" w:hAnsi="宋体" w:eastAsia="宋体"/>
      <w:kern w:val="2"/>
      <w:sz w:val="21"/>
      <w:lang w:val="en-US" w:eastAsia="zh-CN" w:bidi="ar-SA"/>
    </w:rPr>
  </w:style>
  <w:style w:type="character" w:customStyle="1" w:styleId="248">
    <w:name w:val="Char Char24"/>
    <w:qFormat/>
    <w:uiPriority w:val="0"/>
    <w:rPr>
      <w:rFonts w:eastAsia="宋体"/>
      <w:b/>
      <w:bCs/>
      <w:kern w:val="44"/>
      <w:sz w:val="32"/>
      <w:szCs w:val="44"/>
      <w:lang w:val="en-US" w:eastAsia="zh-CN" w:bidi="ar-SA"/>
    </w:rPr>
  </w:style>
  <w:style w:type="character" w:customStyle="1" w:styleId="249">
    <w:name w:val="Char Char23"/>
    <w:qFormat/>
    <w:uiPriority w:val="0"/>
    <w:rPr>
      <w:rFonts w:eastAsia="宋体"/>
      <w:b/>
      <w:bCs/>
      <w:kern w:val="44"/>
      <w:sz w:val="32"/>
      <w:szCs w:val="44"/>
      <w:lang w:val="en-US" w:eastAsia="zh-CN" w:bidi="ar-SA"/>
    </w:rPr>
  </w:style>
  <w:style w:type="character" w:customStyle="1" w:styleId="250">
    <w:name w:val="Comment Text Char"/>
    <w:qFormat/>
    <w:uiPriority w:val="0"/>
    <w:rPr>
      <w:rFonts w:cs="Times New Roman"/>
      <w:sz w:val="24"/>
      <w:szCs w:val="24"/>
    </w:rPr>
  </w:style>
  <w:style w:type="character" w:customStyle="1" w:styleId="251">
    <w:name w:val="Char Char20"/>
    <w:qFormat/>
    <w:uiPriority w:val="0"/>
    <w:rPr>
      <w:rFonts w:ascii="Times New Roman" w:hAnsi="Times New Roman" w:eastAsia="宋体" w:cs="Times New Roman"/>
      <w:b/>
      <w:bCs/>
      <w:sz w:val="24"/>
      <w:szCs w:val="32"/>
    </w:rPr>
  </w:style>
  <w:style w:type="character" w:customStyle="1" w:styleId="252">
    <w:name w:val="Char Char22"/>
    <w:qFormat/>
    <w:uiPriority w:val="0"/>
    <w:rPr>
      <w:rFonts w:ascii="Times New Roman" w:hAnsi="Times New Roman" w:eastAsia="宋体" w:cs="Times New Roman"/>
      <w:b/>
      <w:bCs/>
      <w:kern w:val="44"/>
      <w:sz w:val="32"/>
      <w:szCs w:val="44"/>
    </w:rPr>
  </w:style>
  <w:style w:type="character" w:customStyle="1" w:styleId="253">
    <w:name w:val="标题 1 Char1"/>
    <w:qFormat/>
    <w:uiPriority w:val="0"/>
    <w:rPr>
      <w:rFonts w:ascii="Calibri" w:hAnsi="Calibri" w:eastAsia="宋体" w:cs="Arial"/>
      <w:b/>
      <w:kern w:val="44"/>
      <w:sz w:val="44"/>
      <w:szCs w:val="20"/>
    </w:rPr>
  </w:style>
  <w:style w:type="character" w:customStyle="1" w:styleId="254">
    <w:name w:val="Document Map Char"/>
    <w:qFormat/>
    <w:uiPriority w:val="0"/>
    <w:rPr>
      <w:rFonts w:eastAsia="宋体"/>
      <w:kern w:val="2"/>
      <w:sz w:val="21"/>
      <w:szCs w:val="24"/>
      <w:lang w:val="en-US" w:eastAsia="zh-CN" w:bidi="ar-SA"/>
    </w:rPr>
  </w:style>
  <w:style w:type="character" w:customStyle="1" w:styleId="255">
    <w:name w:val="Char Char9"/>
    <w:qFormat/>
    <w:uiPriority w:val="0"/>
    <w:rPr>
      <w:rFonts w:eastAsia="宋体"/>
      <w:b/>
      <w:bCs/>
      <w:kern w:val="44"/>
      <w:sz w:val="32"/>
      <w:szCs w:val="44"/>
      <w:lang w:val="en-US" w:eastAsia="zh-CN" w:bidi="ar-SA"/>
    </w:rPr>
  </w:style>
  <w:style w:type="character" w:customStyle="1" w:styleId="256">
    <w:name w:val="ewb-weather"/>
    <w:basedOn w:val="48"/>
    <w:qFormat/>
    <w:uiPriority w:val="0"/>
  </w:style>
  <w:style w:type="character" w:customStyle="1" w:styleId="257">
    <w:name w:val="超链接_0"/>
    <w:qFormat/>
    <w:uiPriority w:val="99"/>
    <w:rPr>
      <w:rFonts w:ascii="Calibri" w:hAnsi="Calibri" w:cs="Times New Roman"/>
      <w:color w:val="0000FF"/>
      <w:u w:val="single"/>
    </w:rPr>
  </w:style>
  <w:style w:type="character" w:customStyle="1" w:styleId="258">
    <w:name w:val="Char Char21"/>
    <w:qFormat/>
    <w:uiPriority w:val="0"/>
    <w:rPr>
      <w:rFonts w:ascii="Arial" w:hAnsi="Arial" w:eastAsia="黑体" w:cs="Times New Roman"/>
      <w:b/>
      <w:bCs/>
      <w:sz w:val="32"/>
      <w:szCs w:val="32"/>
    </w:rPr>
  </w:style>
  <w:style w:type="character" w:customStyle="1" w:styleId="259">
    <w:name w:val="样式 Char"/>
    <w:link w:val="260"/>
    <w:qFormat/>
    <w:locked/>
    <w:uiPriority w:val="0"/>
    <w:rPr>
      <w:rFonts w:ascii="宋体" w:hAnsi="宋体" w:cs="宋体"/>
      <w:sz w:val="24"/>
      <w:szCs w:val="24"/>
    </w:rPr>
  </w:style>
  <w:style w:type="paragraph" w:customStyle="1" w:styleId="260">
    <w:name w:val="样式"/>
    <w:link w:val="259"/>
    <w:qFormat/>
    <w:uiPriority w:val="0"/>
    <w:pPr>
      <w:widowControl w:val="0"/>
      <w:autoSpaceDE w:val="0"/>
      <w:autoSpaceDN w:val="0"/>
      <w:adjustRightInd w:val="0"/>
    </w:pPr>
    <w:rPr>
      <w:rFonts w:ascii="宋体" w:hAnsi="宋体" w:cs="宋体" w:eastAsiaTheme="minorEastAsia"/>
      <w:sz w:val="24"/>
      <w:szCs w:val="24"/>
      <w:lang w:val="en-US" w:eastAsia="zh-CN" w:bidi="ar-SA"/>
    </w:rPr>
  </w:style>
  <w:style w:type="character" w:customStyle="1" w:styleId="261">
    <w:name w:val="Char Char18"/>
    <w:qFormat/>
    <w:uiPriority w:val="0"/>
    <w:rPr>
      <w:rFonts w:ascii="Times New Roman" w:hAnsi="Times New Roman" w:eastAsia="宋体" w:cs="Times New Roman"/>
      <w:b/>
      <w:bCs/>
      <w:sz w:val="28"/>
      <w:szCs w:val="28"/>
    </w:rPr>
  </w:style>
  <w:style w:type="character" w:customStyle="1" w:styleId="262">
    <w:name w:val="Char Char181"/>
    <w:qFormat/>
    <w:uiPriority w:val="0"/>
    <w:rPr>
      <w:b/>
      <w:bCs/>
      <w:kern w:val="44"/>
      <w:sz w:val="44"/>
      <w:szCs w:val="44"/>
    </w:rPr>
  </w:style>
  <w:style w:type="character" w:customStyle="1" w:styleId="263">
    <w:name w:val="批注文字 Char2"/>
    <w:qFormat/>
    <w:uiPriority w:val="0"/>
    <w:rPr>
      <w:rFonts w:eastAsia="宋体"/>
      <w:kern w:val="2"/>
      <w:sz w:val="21"/>
      <w:szCs w:val="24"/>
      <w:lang w:val="en-US" w:eastAsia="zh-CN" w:bidi="ar-SA"/>
    </w:rPr>
  </w:style>
  <w:style w:type="character" w:customStyle="1" w:styleId="264">
    <w:name w:val="Plain Text Char"/>
    <w:qFormat/>
    <w:uiPriority w:val="0"/>
    <w:rPr>
      <w:rFonts w:ascii="宋体" w:hAnsi="Courier New" w:eastAsia="宋体"/>
      <w:sz w:val="24"/>
      <w:lang w:bidi="ar-SA"/>
    </w:rPr>
  </w:style>
  <w:style w:type="character" w:customStyle="1" w:styleId="265">
    <w:name w:val="Heading 4 Char"/>
    <w:qFormat/>
    <w:uiPriority w:val="0"/>
    <w:rPr>
      <w:rFonts w:ascii="Arial" w:hAnsi="Arial" w:eastAsia="宋体"/>
      <w:b/>
      <w:bCs/>
      <w:kern w:val="2"/>
      <w:sz w:val="21"/>
      <w:szCs w:val="28"/>
      <w:lang w:val="en-US" w:eastAsia="zh-CN" w:bidi="ar-SA"/>
    </w:rPr>
  </w:style>
  <w:style w:type="character" w:customStyle="1" w:styleId="266">
    <w:name w:val="Heading 3 Char1"/>
    <w:qFormat/>
    <w:uiPriority w:val="0"/>
    <w:rPr>
      <w:rFonts w:eastAsia="宋体"/>
      <w:b/>
      <w:bCs/>
      <w:kern w:val="2"/>
      <w:sz w:val="24"/>
      <w:szCs w:val="32"/>
      <w:lang w:val="en-US" w:eastAsia="zh-CN" w:bidi="ar-SA"/>
    </w:rPr>
  </w:style>
  <w:style w:type="character" w:customStyle="1" w:styleId="267">
    <w:name w:val="Comment Text Char1"/>
    <w:qFormat/>
    <w:uiPriority w:val="0"/>
    <w:rPr>
      <w:sz w:val="24"/>
      <w:lang w:bidi="ar-SA"/>
    </w:rPr>
  </w:style>
  <w:style w:type="character" w:customStyle="1" w:styleId="268">
    <w:name w:val="Comment Subject Char"/>
    <w:qFormat/>
    <w:uiPriority w:val="0"/>
    <w:rPr>
      <w:b/>
      <w:sz w:val="24"/>
      <w:lang w:bidi="ar-SA"/>
    </w:rPr>
  </w:style>
  <w:style w:type="paragraph" w:customStyle="1" w:styleId="269">
    <w:name w:val="Char Char Char Char"/>
    <w:basedOn w:val="1"/>
    <w:qFormat/>
    <w:uiPriority w:val="0"/>
    <w:pPr>
      <w:widowControl/>
      <w:spacing w:line="500" w:lineRule="exact"/>
      <w:outlineLvl w:val="2"/>
    </w:pPr>
    <w:rPr>
      <w:rFonts w:ascii="黑体" w:hAnsi="Verdana" w:eastAsia="黑体" w:cs="黑体"/>
      <w:kern w:val="0"/>
      <w:sz w:val="28"/>
      <w:szCs w:val="28"/>
      <w:lang w:eastAsia="en-US"/>
    </w:rPr>
  </w:style>
  <w:style w:type="paragraph" w:customStyle="1" w:styleId="270">
    <w:name w:val="Char1"/>
    <w:basedOn w:val="1"/>
    <w:qFormat/>
    <w:uiPriority w:val="0"/>
    <w:pPr>
      <w:widowControl/>
      <w:spacing w:after="160" w:line="240" w:lineRule="exact"/>
      <w:jc w:val="left"/>
    </w:pPr>
  </w:style>
  <w:style w:type="paragraph" w:customStyle="1" w:styleId="271">
    <w:name w:val="无间隔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72">
    <w:name w:val="图题、表题"/>
    <w:basedOn w:val="1"/>
    <w:next w:val="1"/>
    <w:qFormat/>
    <w:uiPriority w:val="0"/>
    <w:pPr>
      <w:jc w:val="center"/>
    </w:pPr>
    <w:rPr>
      <w:rFonts w:ascii="黑体" w:hAnsi="宋体" w:eastAsia="黑体"/>
    </w:rPr>
  </w:style>
  <w:style w:type="paragraph" w:customStyle="1" w:styleId="273">
    <w:name w:val="正文缩进_0"/>
    <w:basedOn w:val="220"/>
    <w:qFormat/>
    <w:uiPriority w:val="0"/>
    <w:pPr>
      <w:ind w:firstLine="420"/>
    </w:pPr>
    <w:rPr>
      <w:rFonts w:ascii="Times New Roman" w:hAnsi="Times New Roman"/>
      <w:u w:val="single"/>
    </w:rPr>
  </w:style>
  <w:style w:type="paragraph" w:customStyle="1" w:styleId="274">
    <w:name w:val="列出段落1"/>
    <w:basedOn w:val="1"/>
    <w:qFormat/>
    <w:uiPriority w:val="0"/>
    <w:pPr>
      <w:ind w:firstLine="420" w:firstLineChars="200"/>
    </w:pPr>
    <w:rPr>
      <w:rFonts w:ascii="Calibri" w:hAnsi="Calibri"/>
      <w:szCs w:val="22"/>
    </w:rPr>
  </w:style>
  <w:style w:type="paragraph" w:customStyle="1" w:styleId="275">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276">
    <w:name w:val="标题 3_0"/>
    <w:basedOn w:val="219"/>
    <w:next w:val="219"/>
    <w:qFormat/>
    <w:uiPriority w:val="0"/>
    <w:pPr>
      <w:keepNext/>
      <w:keepLines/>
      <w:spacing w:before="260" w:after="260" w:line="413" w:lineRule="auto"/>
      <w:outlineLvl w:val="2"/>
    </w:pPr>
    <w:rPr>
      <w:b/>
      <w:bCs/>
      <w:sz w:val="32"/>
      <w:szCs w:val="32"/>
    </w:rPr>
  </w:style>
  <w:style w:type="paragraph" w:customStyle="1" w:styleId="277">
    <w:name w:val="p0"/>
    <w:basedOn w:val="1"/>
    <w:qFormat/>
    <w:uiPriority w:val="99"/>
    <w:pPr>
      <w:widowControl/>
    </w:pPr>
    <w:rPr>
      <w:rFonts w:ascii="Calibri" w:hAnsi="Calibri" w:cs="宋体"/>
      <w:kern w:val="0"/>
      <w:szCs w:val="21"/>
    </w:rPr>
  </w:style>
  <w:style w:type="paragraph" w:customStyle="1" w:styleId="278">
    <w:name w:val="TOC 标题_0"/>
    <w:basedOn w:val="227"/>
    <w:next w:val="219"/>
    <w:qFormat/>
    <w:uiPriority w:val="0"/>
    <w:pPr>
      <w:spacing w:line="576" w:lineRule="auto"/>
      <w:outlineLvl w:val="9"/>
    </w:pPr>
    <w:rPr>
      <w:rFonts w:ascii="Calibri" w:hAnsi="Calibri"/>
    </w:rPr>
  </w:style>
  <w:style w:type="paragraph" w:customStyle="1" w:styleId="279">
    <w:name w:val="标题_0"/>
    <w:basedOn w:val="220"/>
    <w:qFormat/>
    <w:uiPriority w:val="0"/>
    <w:pPr>
      <w:widowControl/>
      <w:spacing w:before="120" w:after="120" w:line="360" w:lineRule="auto"/>
      <w:jc w:val="center"/>
      <w:outlineLvl w:val="0"/>
    </w:pPr>
    <w:rPr>
      <w:rFonts w:ascii="黑体" w:hAnsi="Arial" w:eastAsia="黑体"/>
      <w:b/>
      <w:bCs/>
      <w:sz w:val="32"/>
      <w:szCs w:val="32"/>
    </w:rPr>
  </w:style>
  <w:style w:type="paragraph" w:customStyle="1" w:styleId="280">
    <w:name w:val="_Style 6"/>
    <w:basedOn w:val="2"/>
    <w:next w:val="1"/>
    <w:qFormat/>
    <w:uiPriority w:val="0"/>
    <w:pPr>
      <w:spacing w:before="0" w:after="0" w:line="576" w:lineRule="auto"/>
      <w:jc w:val="center"/>
      <w:outlineLvl w:val="9"/>
    </w:pPr>
    <w:rPr>
      <w:rFonts w:ascii="Calibri" w:hAnsi="Calibri"/>
    </w:rPr>
  </w:style>
  <w:style w:type="paragraph" w:customStyle="1" w:styleId="281">
    <w:name w:val="Char Char Char Char Char Char Char"/>
    <w:basedOn w:val="1"/>
    <w:qFormat/>
    <w:uiPriority w:val="0"/>
    <w:pPr>
      <w:widowControl/>
      <w:spacing w:after="160" w:line="240" w:lineRule="exact"/>
      <w:jc w:val="left"/>
    </w:pPr>
  </w:style>
  <w:style w:type="paragraph" w:customStyle="1" w:styleId="282">
    <w:name w:val="_Style 37"/>
    <w:basedOn w:val="1"/>
    <w:next w:val="1"/>
    <w:qFormat/>
    <w:uiPriority w:val="0"/>
  </w:style>
  <w:style w:type="paragraph" w:customStyle="1" w:styleId="283">
    <w:name w:val="样式6"/>
    <w:basedOn w:val="1"/>
    <w:qFormat/>
    <w:uiPriority w:val="0"/>
    <w:rPr>
      <w:rFonts w:ascii="Calibri" w:hAnsi="Calibri"/>
      <w:szCs w:val="22"/>
    </w:rPr>
  </w:style>
  <w:style w:type="paragraph" w:customStyle="1" w:styleId="284">
    <w:name w:val="2-2ji"/>
    <w:basedOn w:val="3"/>
    <w:qFormat/>
    <w:uiPriority w:val="0"/>
    <w:pPr>
      <w:spacing w:before="0" w:after="0" w:line="360" w:lineRule="auto"/>
      <w:jc w:val="center"/>
    </w:pPr>
    <w:rPr>
      <w:rFonts w:ascii="宋体" w:hAnsi="宋体" w:eastAsia="宋体"/>
      <w:sz w:val="36"/>
      <w:szCs w:val="24"/>
    </w:rPr>
  </w:style>
  <w:style w:type="character" w:customStyle="1" w:styleId="285">
    <w:name w:val="NormalCharacter"/>
    <w:semiHidden/>
    <w:qFormat/>
    <w:uiPriority w:val="0"/>
  </w:style>
  <w:style w:type="character" w:customStyle="1" w:styleId="286">
    <w:name w:val="正文首行缩进 2 字符"/>
    <w:basedOn w:val="75"/>
    <w:link w:val="45"/>
    <w:qFormat/>
    <w:uiPriority w:val="0"/>
    <w:rPr>
      <w:rFonts w:ascii="Times New Roman" w:hAnsi="Times New Roman" w:eastAsia="宋体" w:cs="Times New Roman"/>
      <w:kern w:val="2"/>
      <w:sz w:val="21"/>
      <w:szCs w:val="24"/>
    </w:rPr>
  </w:style>
  <w:style w:type="character" w:customStyle="1" w:styleId="287">
    <w:name w:val="font21"/>
    <w:basedOn w:val="48"/>
    <w:qFormat/>
    <w:uiPriority w:val="0"/>
    <w:rPr>
      <w:rFonts w:hint="eastAsia" w:ascii="宋体" w:hAnsi="宋体" w:eastAsia="宋体" w:cs="宋体"/>
      <w:color w:val="000000"/>
      <w:sz w:val="22"/>
      <w:szCs w:val="22"/>
      <w:u w:val="none"/>
    </w:rPr>
  </w:style>
  <w:style w:type="character" w:customStyle="1" w:styleId="288">
    <w:name w:val="font11"/>
    <w:qFormat/>
    <w:uiPriority w:val="0"/>
    <w:rPr>
      <w:rFonts w:hint="eastAsia" w:ascii="宋体" w:hAnsi="宋体" w:eastAsia="宋体" w:cs="宋体"/>
      <w:color w:val="000000"/>
      <w:sz w:val="24"/>
      <w:szCs w:val="24"/>
      <w:u w:val="none"/>
    </w:rPr>
  </w:style>
  <w:style w:type="paragraph" w:customStyle="1" w:styleId="289">
    <w:name w:val="ÕýÎÄ"/>
    <w:qFormat/>
    <w:uiPriority w:val="0"/>
    <w:pPr>
      <w:tabs>
        <w:tab w:val="left" w:pos="630"/>
      </w:tabs>
      <w:overflowPunct w:val="0"/>
      <w:autoSpaceDE w:val="0"/>
      <w:autoSpaceDN w:val="0"/>
      <w:adjustRightInd w:val="0"/>
      <w:spacing w:line="360" w:lineRule="atLeast"/>
      <w:jc w:val="both"/>
      <w:textAlignment w:val="baseline"/>
    </w:pPr>
    <w:rPr>
      <w:rFonts w:ascii="Times New Roman" w:hAnsi="Times New Roman" w:eastAsia="宋体" w:cs="Times New Roman"/>
      <w:sz w:val="22"/>
      <w:lang w:val="en-US" w:eastAsia="zh-CN" w:bidi="ar-SA"/>
    </w:rPr>
  </w:style>
  <w:style w:type="paragraph" w:customStyle="1" w:styleId="290">
    <w:name w:val="正文_0_0_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91">
    <w:name w:val="正文_21"/>
    <w:qFormat/>
    <w:uiPriority w:val="0"/>
    <w:pPr>
      <w:widowControl w:val="0"/>
      <w:jc w:val="both"/>
    </w:pPr>
    <w:rPr>
      <w:rFonts w:ascii="Calibri" w:hAnsi="Calibri" w:eastAsia="宋体" w:cs="Times New Roman"/>
      <w:kern w:val="2"/>
      <w:sz w:val="21"/>
      <w:szCs w:val="22"/>
      <w:lang w:val="en-US" w:eastAsia="zh-CN" w:bidi="ar-SA"/>
    </w:rPr>
  </w:style>
  <w:style w:type="paragraph" w:customStyle="1" w:styleId="292">
    <w:name w:val="标题 2_0"/>
    <w:basedOn w:val="219"/>
    <w:next w:val="219"/>
    <w:unhideWhenUsed/>
    <w:qFormat/>
    <w:uiPriority w:val="0"/>
    <w:pPr>
      <w:keepNext/>
      <w:keepLines/>
      <w:spacing w:before="260" w:after="260" w:line="410" w:lineRule="auto"/>
      <w:jc w:val="center"/>
      <w:outlineLvl w:val="1"/>
    </w:pPr>
    <w:rPr>
      <w:rFonts w:ascii="Arial" w:hAnsi="Arial" w:eastAsia="黑体"/>
      <w:b/>
      <w:bCs/>
      <w:kern w:val="0"/>
      <w:sz w:val="32"/>
      <w:szCs w:val="32"/>
    </w:rPr>
  </w:style>
  <w:style w:type="paragraph" w:customStyle="1" w:styleId="293">
    <w:name w:val="Normal1_0"/>
    <w:qFormat/>
    <w:uiPriority w:val="0"/>
    <w:pPr>
      <w:widowControl w:val="0"/>
      <w:jc w:val="both"/>
    </w:pPr>
    <w:rPr>
      <w:rFonts w:ascii="Calibri" w:hAnsi="Calibri" w:eastAsia="宋体" w:cs="Calibri"/>
      <w:color w:val="000000"/>
      <w:kern w:val="1"/>
      <w:sz w:val="21"/>
      <w:szCs w:val="22"/>
      <w:lang w:val="en-US" w:eastAsia="zh-CN" w:bidi="ar-SA"/>
    </w:rPr>
  </w:style>
  <w:style w:type="paragraph" w:customStyle="1" w:styleId="294">
    <w:name w:val="正文文本缩进 2_0"/>
    <w:basedOn w:val="219"/>
    <w:unhideWhenUsed/>
    <w:qFormat/>
    <w:uiPriority w:val="0"/>
    <w:pPr>
      <w:spacing w:line="540" w:lineRule="exact"/>
      <w:ind w:firstLine="225" w:firstLineChars="225"/>
      <w:jc w:val="left"/>
    </w:pPr>
    <w:rPr>
      <w:rFonts w:ascii="仿宋_GB2312" w:hAnsi="Calibri" w:eastAsia="仿宋_GB2312"/>
      <w:kern w:val="0"/>
      <w:sz w:val="32"/>
      <w:szCs w:val="22"/>
    </w:rPr>
  </w:style>
  <w:style w:type="paragraph" w:customStyle="1" w:styleId="295">
    <w:name w:val="Body text|1"/>
    <w:basedOn w:val="1"/>
    <w:qFormat/>
    <w:uiPriority w:val="0"/>
    <w:pPr>
      <w:spacing w:line="442" w:lineRule="auto"/>
      <w:ind w:firstLine="400"/>
      <w:jc w:val="left"/>
    </w:pPr>
    <w:rPr>
      <w:rFonts w:ascii="宋体" w:hAnsi="宋体" w:cs="宋体"/>
      <w:color w:val="000000"/>
      <w:kern w:val="0"/>
      <w:sz w:val="26"/>
      <w:szCs w:val="26"/>
      <w:lang w:val="zh-TW" w:eastAsia="zh-TW" w:bidi="zh-TW"/>
    </w:rPr>
  </w:style>
  <w:style w:type="paragraph" w:customStyle="1" w:styleId="296">
    <w:name w:val="纯文本1"/>
    <w:basedOn w:val="1"/>
    <w:qFormat/>
    <w:uiPriority w:val="0"/>
    <w:rPr>
      <w:rFonts w:ascii="宋体" w:hAnsi="Courier New"/>
      <w:szCs w:val="20"/>
    </w:rPr>
  </w:style>
  <w:style w:type="paragraph" w:customStyle="1" w:styleId="297">
    <w:name w:val="正文文本1"/>
    <w:basedOn w:val="1"/>
    <w:next w:val="1"/>
    <w:qFormat/>
    <w:uiPriority w:val="0"/>
    <w:pPr>
      <w:jc w:val="center"/>
    </w:pPr>
    <w:rPr>
      <w:rFonts w:eastAsia="仿宋_GB2312"/>
      <w:sz w:val="28"/>
    </w:rPr>
  </w:style>
  <w:style w:type="paragraph" w:customStyle="1" w:styleId="298">
    <w:name w:val="纯文本11"/>
    <w:basedOn w:val="1"/>
    <w:qFormat/>
    <w:uiPriority w:val="0"/>
    <w:rPr>
      <w:rFonts w:ascii="宋体" w:hAnsi="Courier New"/>
      <w:szCs w:val="20"/>
    </w:rPr>
  </w:style>
  <w:style w:type="paragraph" w:customStyle="1" w:styleId="299">
    <w:name w:val="null3"/>
    <w:qFormat/>
    <w:uiPriority w:val="0"/>
    <w:rPr>
      <w:rFonts w:hint="eastAsia" w:ascii="Calibri" w:hAnsi="Calibri"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5B1DDFC-2C36-43BF-A4D5-4072DDB84A24}">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48</Pages>
  <Words>9724</Words>
  <Characters>10360</Characters>
  <Lines>124</Lines>
  <Paragraphs>35</Paragraphs>
  <TotalTime>1</TotalTime>
  <ScaleCrop>false</ScaleCrop>
  <LinksUpToDate>false</LinksUpToDate>
  <CharactersWithSpaces>10600</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2022-04-13T07:35:00Z</dcterms:created>
  <dc:creator>LL</dc:creator>
  <cp:lastModifiedBy>巅峰喜羊羊</cp:lastModifiedBy>
  <cp:lastPrinted>2023-08-07T08:07:00Z</cp:lastPrinted>
  <dcterms:modified xsi:type="dcterms:W3CDTF">2025-12-15T06:55:24Z</dcterms:modified>
  <cp:revision>203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8E90C7E6E2EB43C29CCDB9B32C6B30B2</vt:lpwstr>
  </property>
  <property fmtid="{D5CDD505-2E9C-101B-9397-08002B2CF9AE}" pid="4" name="KSOTemplateDocerSaveRecord">
    <vt:lpwstr>eyJoZGlkIjoiOGVlZDMxM2Q0MmE5NDBjNzYyOWViODk2ZTgzN2MxYzkiLCJ1c2VySWQiOiIxNTE3MjQ4ODMzIn0=</vt:lpwstr>
  </property>
</Properties>
</file>