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57FDCC">
      <w:pPr>
        <w:jc w:val="center"/>
        <w:outlineLvl w:val="0"/>
        <w:rPr>
          <w:rFonts w:hint="eastAsia" w:ascii="宋体" w:hAnsi="宋体" w:eastAsia="宋体" w:cs="宋体"/>
          <w:sz w:val="48"/>
          <w:szCs w:val="48"/>
        </w:rPr>
      </w:pPr>
      <w:bookmarkStart w:id="0" w:name="_Hlk38789733"/>
    </w:p>
    <w:p w14:paraId="3190705E">
      <w:pPr>
        <w:pStyle w:val="66"/>
        <w:ind w:firstLine="420"/>
        <w:rPr>
          <w:rFonts w:hint="eastAsia" w:ascii="宋体" w:hAnsi="宋体" w:eastAsia="宋体" w:cs="宋体"/>
        </w:rPr>
      </w:pPr>
    </w:p>
    <w:p w14:paraId="56A757B0">
      <w:pPr>
        <w:jc w:val="center"/>
        <w:outlineLvl w:val="0"/>
        <w:rPr>
          <w:rFonts w:hint="eastAsia" w:ascii="宋体" w:hAnsi="宋体" w:eastAsia="宋体" w:cs="宋体"/>
          <w:b/>
          <w:bCs/>
          <w:spacing w:val="20"/>
          <w:sz w:val="84"/>
          <w:szCs w:val="84"/>
        </w:rPr>
      </w:pPr>
    </w:p>
    <w:p w14:paraId="46D98E65">
      <w:pPr>
        <w:jc w:val="center"/>
        <w:outlineLvl w:val="0"/>
        <w:rPr>
          <w:rFonts w:hint="eastAsia" w:ascii="宋体" w:hAnsi="宋体" w:eastAsia="宋体" w:cs="宋体"/>
          <w:b/>
          <w:sz w:val="52"/>
          <w:szCs w:val="52"/>
        </w:rPr>
      </w:pPr>
      <w:r>
        <w:rPr>
          <w:rFonts w:hint="eastAsia" w:ascii="宋体" w:hAnsi="宋体" w:eastAsia="宋体" w:cs="宋体"/>
          <w:b/>
          <w:bCs/>
          <w:spacing w:val="20"/>
          <w:sz w:val="84"/>
          <w:szCs w:val="84"/>
        </w:rPr>
        <w:t>竞争性磋商文件</w:t>
      </w:r>
      <w:r>
        <w:rPr>
          <w:rFonts w:hint="eastAsia" w:ascii="宋体" w:hAnsi="宋体" w:eastAsia="宋体" w:cs="宋体"/>
          <w:b/>
          <w:sz w:val="52"/>
          <w:szCs w:val="52"/>
        </w:rPr>
        <w:t xml:space="preserve"> </w:t>
      </w:r>
    </w:p>
    <w:p w14:paraId="22BB4275">
      <w:pPr>
        <w:widowControl/>
        <w:wordWrap w:val="0"/>
        <w:jc w:val="center"/>
        <w:rPr>
          <w:rFonts w:hint="eastAsia" w:ascii="宋体" w:hAnsi="宋体" w:eastAsia="宋体" w:cs="宋体"/>
          <w:color w:val="333333"/>
          <w:kern w:val="0"/>
          <w:sz w:val="13"/>
          <w:szCs w:val="13"/>
        </w:rPr>
      </w:pPr>
      <w:r>
        <w:rPr>
          <w:rFonts w:hint="eastAsia" w:ascii="宋体" w:hAnsi="宋体" w:eastAsia="宋体" w:cs="宋体"/>
          <w:color w:val="333333"/>
          <w:kern w:val="0"/>
          <w:sz w:val="13"/>
          <w:szCs w:val="13"/>
        </w:rPr>
        <w:t xml:space="preserve"> </w:t>
      </w:r>
    </w:p>
    <w:p w14:paraId="515DD1A8">
      <w:pPr>
        <w:wordWrap w:val="0"/>
        <w:jc w:val="center"/>
        <w:rPr>
          <w:rFonts w:hint="eastAsia" w:ascii="宋体" w:hAnsi="宋体" w:eastAsia="宋体" w:cs="宋体"/>
          <w:color w:val="333333"/>
          <w:kern w:val="0"/>
          <w:szCs w:val="21"/>
        </w:rPr>
      </w:pPr>
      <w:r>
        <w:rPr>
          <w:rFonts w:hint="eastAsia" w:ascii="宋体" w:hAnsi="宋体" w:eastAsia="宋体" w:cs="宋体"/>
          <w:color w:val="333333"/>
          <w:kern w:val="0"/>
          <w:szCs w:val="21"/>
        </w:rPr>
        <w:t xml:space="preserve"> </w:t>
      </w:r>
    </w:p>
    <w:p w14:paraId="03C6A587">
      <w:pPr>
        <w:wordWrap w:val="0"/>
        <w:jc w:val="center"/>
        <w:rPr>
          <w:rFonts w:hint="eastAsia" w:ascii="宋体" w:hAnsi="宋体" w:eastAsia="宋体" w:cs="宋体"/>
          <w:sz w:val="28"/>
          <w:szCs w:val="28"/>
        </w:rPr>
      </w:pPr>
      <w:r>
        <w:rPr>
          <w:rFonts w:hint="eastAsia" w:ascii="宋体" w:hAnsi="宋体" w:eastAsia="宋体" w:cs="宋体"/>
          <w:sz w:val="28"/>
          <w:szCs w:val="28"/>
        </w:rPr>
        <w:t xml:space="preserve"> </w:t>
      </w:r>
    </w:p>
    <w:p w14:paraId="0BE3E759">
      <w:pPr>
        <w:pStyle w:val="66"/>
        <w:ind w:firstLine="420"/>
        <w:rPr>
          <w:rFonts w:hint="eastAsia" w:ascii="宋体" w:hAnsi="宋体" w:eastAsia="宋体" w:cs="宋体"/>
        </w:rPr>
      </w:pPr>
    </w:p>
    <w:p w14:paraId="7ACA5FF5">
      <w:pPr>
        <w:snapToGrid w:val="0"/>
        <w:spacing w:line="480" w:lineRule="auto"/>
        <w:ind w:firstLine="400" w:firstLineChars="250"/>
        <w:jc w:val="center"/>
        <w:rPr>
          <w:rFonts w:hint="eastAsia" w:ascii="宋体" w:hAnsi="宋体" w:eastAsia="宋体" w:cs="宋体"/>
          <w:color w:val="333333"/>
          <w:sz w:val="16"/>
          <w:szCs w:val="16"/>
        </w:rPr>
      </w:pPr>
      <w:r>
        <w:rPr>
          <w:rFonts w:hint="eastAsia" w:ascii="宋体" w:hAnsi="宋体" w:eastAsia="宋体" w:cs="宋体"/>
          <w:color w:val="333333"/>
          <w:sz w:val="16"/>
          <w:szCs w:val="16"/>
        </w:rPr>
        <w:t xml:space="preserve"> </w:t>
      </w:r>
    </w:p>
    <w:p w14:paraId="7E6A48BD">
      <w:pPr>
        <w:snapToGrid w:val="0"/>
        <w:spacing w:line="480" w:lineRule="auto"/>
        <w:ind w:firstLine="400" w:firstLineChars="250"/>
        <w:jc w:val="center"/>
        <w:rPr>
          <w:rFonts w:hint="eastAsia" w:ascii="宋体" w:hAnsi="宋体" w:eastAsia="宋体" w:cs="宋体"/>
          <w:color w:val="333333"/>
          <w:sz w:val="16"/>
          <w:szCs w:val="16"/>
        </w:rPr>
      </w:pPr>
    </w:p>
    <w:p w14:paraId="20F70715">
      <w:pPr>
        <w:snapToGrid w:val="0"/>
        <w:spacing w:line="480" w:lineRule="auto"/>
        <w:ind w:firstLine="400" w:firstLineChars="250"/>
        <w:jc w:val="center"/>
        <w:rPr>
          <w:rFonts w:hint="eastAsia" w:ascii="宋体" w:hAnsi="宋体" w:eastAsia="宋体" w:cs="宋体"/>
          <w:color w:val="333333"/>
          <w:sz w:val="16"/>
          <w:szCs w:val="16"/>
        </w:rPr>
      </w:pPr>
    </w:p>
    <w:p w14:paraId="733098F6">
      <w:pPr>
        <w:snapToGrid w:val="0"/>
        <w:spacing w:line="480" w:lineRule="auto"/>
        <w:ind w:firstLine="400" w:firstLineChars="250"/>
        <w:jc w:val="center"/>
        <w:rPr>
          <w:rFonts w:hint="eastAsia" w:ascii="宋体" w:hAnsi="宋体" w:eastAsia="宋体" w:cs="宋体"/>
          <w:color w:val="333333"/>
          <w:sz w:val="16"/>
          <w:szCs w:val="16"/>
        </w:rPr>
      </w:pPr>
    </w:p>
    <w:p w14:paraId="35A0646E">
      <w:pPr>
        <w:snapToGrid w:val="0"/>
        <w:spacing w:line="480" w:lineRule="auto"/>
        <w:ind w:firstLine="400" w:firstLineChars="250"/>
        <w:jc w:val="center"/>
        <w:rPr>
          <w:rFonts w:hint="eastAsia" w:ascii="宋体" w:hAnsi="宋体" w:eastAsia="宋体" w:cs="宋体"/>
          <w:color w:val="333333"/>
          <w:sz w:val="16"/>
          <w:szCs w:val="16"/>
          <w:lang w:val="en-US" w:eastAsia="zh-CN"/>
        </w:rPr>
      </w:pPr>
    </w:p>
    <w:p w14:paraId="112DDCB7">
      <w:pPr>
        <w:snapToGrid w:val="0"/>
        <w:spacing w:line="480" w:lineRule="auto"/>
        <w:ind w:firstLine="400" w:firstLineChars="250"/>
        <w:jc w:val="center"/>
        <w:rPr>
          <w:rFonts w:hint="eastAsia" w:ascii="宋体" w:hAnsi="宋体" w:eastAsia="宋体" w:cs="宋体"/>
          <w:color w:val="333333"/>
          <w:sz w:val="16"/>
          <w:szCs w:val="16"/>
          <w:lang w:val="en-US" w:eastAsia="zh-CN"/>
        </w:rPr>
      </w:pPr>
    </w:p>
    <w:p w14:paraId="36669DA1">
      <w:pPr>
        <w:snapToGrid w:val="0"/>
        <w:spacing w:line="480" w:lineRule="auto"/>
        <w:ind w:firstLine="400" w:firstLineChars="250"/>
        <w:jc w:val="center"/>
        <w:rPr>
          <w:rFonts w:hint="eastAsia" w:ascii="宋体" w:hAnsi="宋体" w:eastAsia="宋体" w:cs="宋体"/>
          <w:color w:val="333333"/>
          <w:sz w:val="16"/>
          <w:szCs w:val="16"/>
          <w:lang w:eastAsia="zh-CN"/>
        </w:rPr>
      </w:pPr>
      <w:r>
        <w:rPr>
          <w:rFonts w:hint="eastAsia" w:ascii="宋体" w:hAnsi="宋体" w:eastAsia="宋体" w:cs="宋体"/>
          <w:color w:val="333333"/>
          <w:sz w:val="16"/>
          <w:szCs w:val="16"/>
          <w:lang w:val="en-US" w:eastAsia="zh-CN"/>
        </w:rPr>
        <w:t xml:space="preserve"> </w:t>
      </w:r>
    </w:p>
    <w:p w14:paraId="7415BC7C">
      <w:pPr>
        <w:pStyle w:val="66"/>
        <w:ind w:firstLine="420"/>
        <w:rPr>
          <w:rFonts w:hint="eastAsia" w:ascii="宋体" w:hAnsi="宋体" w:eastAsia="宋体" w:cs="宋体"/>
        </w:rPr>
      </w:pPr>
    </w:p>
    <w:p w14:paraId="2CE0F460">
      <w:pPr>
        <w:pStyle w:val="66"/>
        <w:ind w:firstLine="420"/>
        <w:rPr>
          <w:rFonts w:hint="eastAsia" w:ascii="宋体" w:hAnsi="宋体" w:eastAsia="宋体" w:cs="宋体"/>
        </w:rPr>
      </w:pPr>
    </w:p>
    <w:p w14:paraId="4A211F71">
      <w:pPr>
        <w:snapToGrid w:val="0"/>
        <w:spacing w:line="480" w:lineRule="auto"/>
        <w:ind w:firstLine="400" w:firstLineChars="250"/>
        <w:jc w:val="center"/>
        <w:rPr>
          <w:rFonts w:hint="eastAsia" w:ascii="宋体" w:hAnsi="宋体" w:eastAsia="宋体" w:cs="宋体"/>
          <w:color w:val="333333"/>
          <w:sz w:val="16"/>
          <w:szCs w:val="16"/>
        </w:rPr>
      </w:pPr>
    </w:p>
    <w:p w14:paraId="78D47205">
      <w:pPr>
        <w:snapToGrid w:val="0"/>
        <w:spacing w:line="480" w:lineRule="auto"/>
        <w:ind w:firstLine="400" w:firstLineChars="250"/>
        <w:jc w:val="center"/>
        <w:rPr>
          <w:rFonts w:hint="eastAsia" w:ascii="宋体" w:hAnsi="宋体" w:eastAsia="宋体" w:cs="宋体"/>
          <w:color w:val="333333"/>
          <w:sz w:val="16"/>
          <w:szCs w:val="16"/>
        </w:rPr>
      </w:pPr>
    </w:p>
    <w:p w14:paraId="2121CAA3">
      <w:pPr>
        <w:snapToGrid w:val="0"/>
        <w:spacing w:line="480" w:lineRule="auto"/>
        <w:ind w:firstLine="400" w:firstLineChars="250"/>
        <w:jc w:val="center"/>
        <w:rPr>
          <w:rFonts w:hint="eastAsia" w:ascii="宋体" w:hAnsi="宋体" w:eastAsia="宋体" w:cs="宋体"/>
          <w:color w:val="333333"/>
          <w:sz w:val="16"/>
          <w:szCs w:val="16"/>
        </w:rPr>
      </w:pPr>
    </w:p>
    <w:p w14:paraId="6D82EBAD">
      <w:pPr>
        <w:snapToGrid w:val="0"/>
        <w:spacing w:line="480" w:lineRule="auto"/>
        <w:ind w:firstLine="400" w:firstLineChars="250"/>
        <w:jc w:val="center"/>
        <w:rPr>
          <w:rFonts w:hint="eastAsia" w:ascii="宋体" w:hAnsi="宋体" w:eastAsia="宋体" w:cs="宋体"/>
          <w:color w:val="333333"/>
          <w:sz w:val="16"/>
          <w:szCs w:val="16"/>
        </w:rPr>
      </w:pPr>
    </w:p>
    <w:p w14:paraId="746E2796">
      <w:pPr>
        <w:snapToGrid w:val="0"/>
        <w:spacing w:line="480" w:lineRule="auto"/>
        <w:ind w:firstLine="400" w:firstLineChars="250"/>
        <w:jc w:val="center"/>
        <w:rPr>
          <w:rFonts w:hint="eastAsia" w:ascii="宋体" w:hAnsi="宋体" w:eastAsia="宋体" w:cs="宋体"/>
          <w:color w:val="333333"/>
          <w:sz w:val="16"/>
          <w:szCs w:val="16"/>
        </w:rPr>
      </w:pPr>
    </w:p>
    <w:p w14:paraId="247C8477">
      <w:pPr>
        <w:snapToGrid w:val="0"/>
        <w:spacing w:line="480" w:lineRule="auto"/>
        <w:ind w:firstLine="400" w:firstLineChars="250"/>
        <w:jc w:val="center"/>
        <w:rPr>
          <w:rFonts w:hint="eastAsia" w:ascii="宋体" w:hAnsi="宋体" w:eastAsia="宋体" w:cs="宋体"/>
          <w:color w:val="333333"/>
          <w:sz w:val="16"/>
          <w:szCs w:val="16"/>
        </w:rPr>
      </w:pPr>
    </w:p>
    <w:p w14:paraId="2049C959">
      <w:pPr>
        <w:snapToGrid w:val="0"/>
        <w:spacing w:line="480" w:lineRule="auto"/>
        <w:ind w:firstLine="1120" w:firstLineChars="400"/>
        <w:jc w:val="both"/>
        <w:rPr>
          <w:rFonts w:hint="eastAsia"/>
          <w:lang w:eastAsia="zh-CN"/>
        </w:rPr>
      </w:pPr>
      <w:r>
        <w:rPr>
          <w:rFonts w:hint="eastAsia" w:ascii="宋体" w:hAnsi="宋体" w:eastAsia="宋体" w:cs="宋体"/>
          <w:sz w:val="28"/>
          <w:szCs w:val="28"/>
        </w:rPr>
        <w:t xml:space="preserve">项目名称: </w:t>
      </w:r>
      <w:r>
        <w:rPr>
          <w:rFonts w:hint="eastAsia" w:ascii="宋体" w:hAnsi="宋体" w:cs="宋体"/>
          <w:sz w:val="28"/>
          <w:szCs w:val="28"/>
          <w:lang w:eastAsia="zh-CN"/>
        </w:rPr>
        <w:t>江苏盱眙农村商业银行现金清分外包项目</w:t>
      </w:r>
    </w:p>
    <w:p w14:paraId="6F1B59CC">
      <w:pPr>
        <w:snapToGrid w:val="0"/>
        <w:spacing w:line="480" w:lineRule="auto"/>
        <w:ind w:firstLine="1120" w:firstLineChars="400"/>
        <w:rPr>
          <w:rFonts w:hint="eastAsia" w:ascii="宋体" w:hAnsi="宋体" w:eastAsia="宋体" w:cs="宋体"/>
          <w:sz w:val="28"/>
          <w:szCs w:val="28"/>
          <w:lang w:eastAsia="zh-CN"/>
        </w:rPr>
      </w:pPr>
      <w:r>
        <w:rPr>
          <w:rFonts w:hint="eastAsia" w:ascii="宋体" w:hAnsi="宋体" w:eastAsia="宋体" w:cs="宋体"/>
          <w:sz w:val="28"/>
          <w:szCs w:val="28"/>
        </w:rPr>
        <w:t>采 购 人：</w:t>
      </w:r>
      <w:r>
        <w:rPr>
          <w:rFonts w:hint="eastAsia" w:ascii="宋体" w:hAnsi="宋体" w:eastAsia="宋体" w:cs="宋体"/>
          <w:sz w:val="28"/>
          <w:szCs w:val="28"/>
          <w:lang w:eastAsia="zh-CN"/>
        </w:rPr>
        <w:t>江苏盱眙农村商业银行股份有限公司</w:t>
      </w:r>
    </w:p>
    <w:p w14:paraId="7F9FE7B7">
      <w:pPr>
        <w:ind w:firstLine="1120" w:firstLineChars="400"/>
        <w:outlineLvl w:val="0"/>
        <w:rPr>
          <w:rFonts w:hint="eastAsia" w:ascii="宋体" w:hAnsi="宋体" w:eastAsia="宋体" w:cs="宋体"/>
          <w:sz w:val="28"/>
          <w:szCs w:val="28"/>
          <w:lang w:eastAsia="zh-CN"/>
        </w:rPr>
      </w:pPr>
      <w:r>
        <w:rPr>
          <w:rFonts w:hint="eastAsia" w:ascii="宋体" w:hAnsi="宋体" w:eastAsia="宋体" w:cs="宋体"/>
          <w:sz w:val="28"/>
          <w:szCs w:val="28"/>
        </w:rPr>
        <w:t>采购代理机构：</w:t>
      </w:r>
      <w:r>
        <w:rPr>
          <w:rFonts w:hint="eastAsia" w:ascii="宋体" w:hAnsi="宋体" w:eastAsia="宋体" w:cs="宋体"/>
          <w:sz w:val="28"/>
          <w:szCs w:val="28"/>
          <w:lang w:eastAsia="zh-CN"/>
        </w:rPr>
        <w:t>正军项目管理集团有限公司</w:t>
      </w:r>
    </w:p>
    <w:p w14:paraId="38604B2B">
      <w:pPr>
        <w:jc w:val="center"/>
        <w:outlineLvl w:val="0"/>
        <w:rPr>
          <w:rFonts w:hint="eastAsia" w:ascii="宋体" w:hAnsi="宋体" w:eastAsia="宋体" w:cs="宋体"/>
          <w:sz w:val="28"/>
          <w:szCs w:val="28"/>
          <w:lang w:eastAsia="zh-CN"/>
        </w:rPr>
      </w:pPr>
    </w:p>
    <w:p w14:paraId="76DD44E1">
      <w:pPr>
        <w:jc w:val="center"/>
        <w:outlineLvl w:val="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p>
    <w:p w14:paraId="70351469">
      <w:pPr>
        <w:pStyle w:val="66"/>
        <w:ind w:firstLine="420"/>
        <w:rPr>
          <w:rFonts w:hint="eastAsia" w:ascii="宋体" w:hAnsi="宋体" w:eastAsia="宋体" w:cs="宋体"/>
        </w:rPr>
      </w:pPr>
    </w:p>
    <w:p w14:paraId="5EAD7296">
      <w:pPr>
        <w:spacing w:line="400" w:lineRule="exact"/>
        <w:jc w:val="center"/>
        <w:outlineLvl w:val="0"/>
        <w:rPr>
          <w:rFonts w:hint="eastAsia" w:ascii="宋体" w:hAnsi="宋体" w:eastAsia="宋体" w:cs="宋体"/>
          <w:sz w:val="32"/>
        </w:rPr>
      </w:pPr>
    </w:p>
    <w:p w14:paraId="5829F94C">
      <w:pPr>
        <w:spacing w:line="400" w:lineRule="exact"/>
        <w:jc w:val="center"/>
        <w:outlineLvl w:val="0"/>
        <w:rPr>
          <w:rFonts w:hint="eastAsia" w:ascii="宋体" w:hAnsi="宋体" w:eastAsia="宋体" w:cs="宋体"/>
          <w:sz w:val="32"/>
        </w:rPr>
      </w:pPr>
    </w:p>
    <w:p w14:paraId="63110ABE">
      <w:pPr>
        <w:snapToGrid w:val="0"/>
        <w:spacing w:line="400" w:lineRule="atLeast"/>
        <w:jc w:val="center"/>
        <w:rPr>
          <w:rFonts w:hint="eastAsia" w:ascii="宋体" w:hAnsi="宋体" w:eastAsia="宋体" w:cs="宋体"/>
          <w:b/>
          <w:bCs/>
          <w:sz w:val="36"/>
          <w:szCs w:val="44"/>
        </w:rPr>
      </w:pPr>
      <w:r>
        <w:rPr>
          <w:rFonts w:hint="eastAsia" w:ascii="宋体" w:hAnsi="宋体" w:eastAsia="宋体" w:cs="宋体"/>
          <w:b/>
          <w:bCs/>
          <w:sz w:val="36"/>
          <w:szCs w:val="44"/>
        </w:rPr>
        <w:t>目    录</w:t>
      </w:r>
    </w:p>
    <w:p w14:paraId="117494F0">
      <w:pPr>
        <w:snapToGrid w:val="0"/>
        <w:spacing w:line="400" w:lineRule="atLeast"/>
        <w:jc w:val="center"/>
        <w:rPr>
          <w:rFonts w:hint="eastAsia" w:ascii="宋体" w:hAnsi="宋体" w:eastAsia="宋体" w:cs="宋体"/>
          <w:b/>
          <w:bCs/>
          <w:sz w:val="30"/>
          <w:szCs w:val="30"/>
        </w:rPr>
      </w:pPr>
    </w:p>
    <w:p w14:paraId="148BFBCA">
      <w:pPr>
        <w:snapToGrid w:val="0"/>
        <w:spacing w:line="480" w:lineRule="auto"/>
        <w:rPr>
          <w:rFonts w:hint="eastAsia" w:ascii="宋体" w:hAnsi="宋体" w:eastAsia="宋体" w:cs="宋体"/>
          <w:sz w:val="28"/>
          <w:szCs w:val="30"/>
        </w:rPr>
      </w:pPr>
    </w:p>
    <w:p w14:paraId="758BD3ED">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第一篇  竞争性磋商公告</w:t>
      </w:r>
    </w:p>
    <w:p w14:paraId="47DFB31E">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第二篇  供应商须知</w:t>
      </w:r>
    </w:p>
    <w:p w14:paraId="36FE0376">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第三篇  招标项目需求</w:t>
      </w:r>
    </w:p>
    <w:p w14:paraId="6586FEE5">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第四篇  合同条款及前附表</w:t>
      </w:r>
    </w:p>
    <w:p w14:paraId="1840D79B">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第五篇  响应文件格式</w:t>
      </w:r>
    </w:p>
    <w:p w14:paraId="2549BB47">
      <w:pPr>
        <w:pStyle w:val="66"/>
        <w:ind w:firstLine="420"/>
        <w:rPr>
          <w:rFonts w:hint="eastAsia" w:ascii="宋体" w:hAnsi="宋体" w:eastAsia="宋体" w:cs="宋体"/>
        </w:rPr>
        <w:sectPr>
          <w:headerReference r:id="rId3" w:type="default"/>
          <w:footerReference r:id="rId4" w:type="default"/>
          <w:footerReference r:id="rId5" w:type="even"/>
          <w:pgSz w:w="11907" w:h="16840"/>
          <w:pgMar w:top="1418" w:right="1418" w:bottom="1440" w:left="1418" w:header="964" w:footer="1077" w:gutter="0"/>
          <w:pgNumType w:start="0"/>
          <w:cols w:space="720" w:num="1"/>
          <w:titlePg/>
          <w:docGrid w:linePitch="312" w:charSpace="0"/>
        </w:sectPr>
      </w:pPr>
    </w:p>
    <w:p w14:paraId="6979C23E">
      <w:pPr>
        <w:spacing w:beforeLines="50"/>
        <w:ind w:firstLine="883" w:firstLineChars="200"/>
        <w:jc w:val="center"/>
        <w:rPr>
          <w:rFonts w:hint="eastAsia" w:ascii="宋体" w:hAnsi="宋体" w:eastAsia="宋体" w:cs="宋体"/>
          <w:b/>
          <w:sz w:val="44"/>
        </w:rPr>
      </w:pPr>
      <w:r>
        <w:rPr>
          <w:rFonts w:hint="eastAsia" w:ascii="宋体" w:hAnsi="宋体" w:eastAsia="宋体" w:cs="宋体"/>
          <w:b/>
          <w:sz w:val="44"/>
        </w:rPr>
        <w:t>前   附  表</w:t>
      </w:r>
    </w:p>
    <w:tbl>
      <w:tblPr>
        <w:tblStyle w:val="48"/>
        <w:tblW w:w="9743" w:type="dxa"/>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669"/>
        <w:gridCol w:w="1618"/>
        <w:gridCol w:w="7456"/>
      </w:tblGrid>
      <w:tr w14:paraId="67A6F2D7">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67" w:hRule="atLeast"/>
          <w:jc w:val="center"/>
        </w:trPr>
        <w:tc>
          <w:tcPr>
            <w:tcW w:w="669" w:type="dxa"/>
            <w:tcBorders>
              <w:top w:val="single" w:color="auto" w:sz="6" w:space="0"/>
              <w:bottom w:val="single" w:color="auto" w:sz="6" w:space="0"/>
              <w:right w:val="single" w:color="auto" w:sz="6" w:space="0"/>
            </w:tcBorders>
            <w:vAlign w:val="center"/>
          </w:tcPr>
          <w:p w14:paraId="2E266104">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项号</w:t>
            </w:r>
          </w:p>
        </w:tc>
        <w:tc>
          <w:tcPr>
            <w:tcW w:w="1618" w:type="dxa"/>
            <w:tcBorders>
              <w:top w:val="single" w:color="auto" w:sz="6" w:space="0"/>
              <w:left w:val="single" w:color="auto" w:sz="6" w:space="0"/>
              <w:bottom w:val="single" w:color="auto" w:sz="6" w:space="0"/>
              <w:right w:val="single" w:color="auto" w:sz="6" w:space="0"/>
            </w:tcBorders>
            <w:vAlign w:val="center"/>
          </w:tcPr>
          <w:p w14:paraId="0F4058A9">
            <w:pPr>
              <w:autoSpaceDE w:val="0"/>
              <w:autoSpaceDN w:val="0"/>
              <w:adjustRightInd w:val="0"/>
              <w:spacing w:line="312" w:lineRule="auto"/>
              <w:jc w:val="center"/>
              <w:rPr>
                <w:rFonts w:hint="eastAsia" w:ascii="宋体" w:hAnsi="宋体" w:eastAsia="宋体" w:cs="宋体"/>
                <w:b/>
                <w:sz w:val="24"/>
                <w:szCs w:val="24"/>
                <w:lang w:val="zh-CN"/>
              </w:rPr>
            </w:pPr>
            <w:r>
              <w:rPr>
                <w:rFonts w:hint="eastAsia" w:ascii="宋体" w:hAnsi="宋体" w:eastAsia="宋体" w:cs="宋体"/>
                <w:b/>
                <w:sz w:val="24"/>
                <w:szCs w:val="24"/>
                <w:lang w:val="zh-CN"/>
              </w:rPr>
              <w:t>名称</w:t>
            </w:r>
          </w:p>
        </w:tc>
        <w:tc>
          <w:tcPr>
            <w:tcW w:w="7456" w:type="dxa"/>
            <w:tcBorders>
              <w:top w:val="single" w:color="auto" w:sz="6" w:space="0"/>
              <w:left w:val="single" w:color="auto" w:sz="6" w:space="0"/>
              <w:bottom w:val="single" w:color="auto" w:sz="6" w:space="0"/>
            </w:tcBorders>
            <w:vAlign w:val="center"/>
          </w:tcPr>
          <w:p w14:paraId="0F1B7C55">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内容</w:t>
            </w:r>
          </w:p>
        </w:tc>
      </w:tr>
      <w:tr w14:paraId="55270585">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30" w:hRule="atLeast"/>
          <w:jc w:val="center"/>
        </w:trPr>
        <w:tc>
          <w:tcPr>
            <w:tcW w:w="669" w:type="dxa"/>
            <w:tcBorders>
              <w:top w:val="single" w:color="auto" w:sz="6" w:space="0"/>
              <w:bottom w:val="single" w:color="auto" w:sz="6" w:space="0"/>
              <w:right w:val="single" w:color="auto" w:sz="6" w:space="0"/>
            </w:tcBorders>
            <w:vAlign w:val="center"/>
          </w:tcPr>
          <w:p w14:paraId="1DCC6F79">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618" w:type="dxa"/>
            <w:tcBorders>
              <w:top w:val="single" w:color="auto" w:sz="6" w:space="0"/>
              <w:left w:val="single" w:color="auto" w:sz="6" w:space="0"/>
              <w:bottom w:val="single" w:color="auto" w:sz="6" w:space="0"/>
              <w:right w:val="single" w:color="auto" w:sz="6" w:space="0"/>
            </w:tcBorders>
            <w:vAlign w:val="center"/>
          </w:tcPr>
          <w:p w14:paraId="3F633875">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7456" w:type="dxa"/>
            <w:tcBorders>
              <w:top w:val="single" w:color="auto" w:sz="6" w:space="0"/>
              <w:left w:val="single" w:color="auto" w:sz="6" w:space="0"/>
              <w:bottom w:val="single" w:color="auto" w:sz="6" w:space="0"/>
            </w:tcBorders>
            <w:vAlign w:val="center"/>
          </w:tcPr>
          <w:p w14:paraId="649A1043">
            <w:pPr>
              <w:autoSpaceDE w:val="0"/>
              <w:autoSpaceDN w:val="0"/>
              <w:adjustRightInd w:val="0"/>
              <w:spacing w:line="240" w:lineRule="exact"/>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江苏盱眙农村商业银行股份有限公司</w:t>
            </w:r>
          </w:p>
        </w:tc>
      </w:tr>
      <w:tr w14:paraId="6071555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551" w:hRule="atLeast"/>
          <w:jc w:val="center"/>
        </w:trPr>
        <w:tc>
          <w:tcPr>
            <w:tcW w:w="669" w:type="dxa"/>
            <w:tcBorders>
              <w:top w:val="single" w:color="auto" w:sz="6" w:space="0"/>
              <w:bottom w:val="single" w:color="auto" w:sz="6" w:space="0"/>
              <w:right w:val="single" w:color="auto" w:sz="6" w:space="0"/>
            </w:tcBorders>
            <w:vAlign w:val="center"/>
          </w:tcPr>
          <w:p w14:paraId="7B1D71A5">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618" w:type="dxa"/>
            <w:tcBorders>
              <w:top w:val="single" w:color="auto" w:sz="6" w:space="0"/>
              <w:left w:val="single" w:color="auto" w:sz="6" w:space="0"/>
              <w:bottom w:val="single" w:color="auto" w:sz="6" w:space="0"/>
              <w:right w:val="single" w:color="auto" w:sz="6" w:space="0"/>
            </w:tcBorders>
            <w:vAlign w:val="center"/>
          </w:tcPr>
          <w:p w14:paraId="3765D642">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7456" w:type="dxa"/>
            <w:tcBorders>
              <w:top w:val="single" w:color="auto" w:sz="6" w:space="0"/>
              <w:left w:val="single" w:color="auto" w:sz="6" w:space="0"/>
              <w:bottom w:val="single" w:color="auto" w:sz="6" w:space="0"/>
            </w:tcBorders>
            <w:vAlign w:val="center"/>
          </w:tcPr>
          <w:p w14:paraId="00443347">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正军项目管理集团有限公司</w:t>
            </w:r>
          </w:p>
        </w:tc>
      </w:tr>
      <w:tr w14:paraId="432BB074">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92" w:hRule="atLeast"/>
          <w:jc w:val="center"/>
        </w:trPr>
        <w:tc>
          <w:tcPr>
            <w:tcW w:w="669" w:type="dxa"/>
            <w:tcBorders>
              <w:top w:val="single" w:color="auto" w:sz="6" w:space="0"/>
              <w:bottom w:val="single" w:color="auto" w:sz="6" w:space="0"/>
              <w:right w:val="single" w:color="auto" w:sz="6" w:space="0"/>
            </w:tcBorders>
            <w:vAlign w:val="center"/>
          </w:tcPr>
          <w:p w14:paraId="42F4F520">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618" w:type="dxa"/>
            <w:tcBorders>
              <w:top w:val="single" w:color="auto" w:sz="6" w:space="0"/>
              <w:left w:val="single" w:color="auto" w:sz="6" w:space="0"/>
              <w:bottom w:val="single" w:color="auto" w:sz="6" w:space="0"/>
              <w:right w:val="single" w:color="auto" w:sz="6" w:space="0"/>
            </w:tcBorders>
            <w:vAlign w:val="center"/>
          </w:tcPr>
          <w:p w14:paraId="10BA39AD">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7456" w:type="dxa"/>
            <w:tcBorders>
              <w:top w:val="single" w:color="auto" w:sz="6" w:space="0"/>
              <w:left w:val="single" w:color="auto" w:sz="6" w:space="0"/>
              <w:bottom w:val="single" w:color="auto" w:sz="6" w:space="0"/>
            </w:tcBorders>
            <w:vAlign w:val="center"/>
          </w:tcPr>
          <w:p w14:paraId="580BA0D1">
            <w:pPr>
              <w:autoSpaceDE w:val="0"/>
              <w:autoSpaceDN w:val="0"/>
              <w:adjustRightInd w:val="0"/>
              <w:spacing w:line="240" w:lineRule="exact"/>
              <w:jc w:val="left"/>
              <w:rPr>
                <w:rFonts w:hint="default" w:ascii="宋体" w:hAnsi="宋体" w:eastAsia="宋体" w:cs="宋体"/>
                <w:sz w:val="24"/>
                <w:szCs w:val="24"/>
                <w:lang w:val="en-US" w:eastAsia="zh-CN"/>
              </w:rPr>
            </w:pPr>
            <w:r>
              <w:rPr>
                <w:rFonts w:hint="eastAsia" w:ascii="宋体" w:hAnsi="宋体" w:cs="宋体"/>
                <w:sz w:val="24"/>
                <w:szCs w:val="24"/>
                <w:highlight w:val="none"/>
                <w:lang w:eastAsia="zh-CN"/>
              </w:rPr>
              <w:t>XSYC-2026-1-022</w:t>
            </w:r>
          </w:p>
        </w:tc>
      </w:tr>
      <w:tr w14:paraId="726E7ABC">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47" w:hRule="atLeast"/>
          <w:jc w:val="center"/>
        </w:trPr>
        <w:tc>
          <w:tcPr>
            <w:tcW w:w="669" w:type="dxa"/>
            <w:tcBorders>
              <w:top w:val="single" w:color="auto" w:sz="6" w:space="0"/>
              <w:bottom w:val="single" w:color="auto" w:sz="6" w:space="0"/>
              <w:right w:val="single" w:color="auto" w:sz="6" w:space="0"/>
            </w:tcBorders>
            <w:vAlign w:val="center"/>
          </w:tcPr>
          <w:p w14:paraId="61F39B18">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618" w:type="dxa"/>
            <w:tcBorders>
              <w:top w:val="single" w:color="auto" w:sz="6" w:space="0"/>
              <w:left w:val="single" w:color="auto" w:sz="6" w:space="0"/>
              <w:bottom w:val="single" w:color="auto" w:sz="6" w:space="0"/>
              <w:right w:val="single" w:color="auto" w:sz="6" w:space="0"/>
            </w:tcBorders>
            <w:vAlign w:val="center"/>
          </w:tcPr>
          <w:p w14:paraId="08C477A1">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招标内容</w:t>
            </w:r>
          </w:p>
        </w:tc>
        <w:tc>
          <w:tcPr>
            <w:tcW w:w="7456" w:type="dxa"/>
            <w:tcBorders>
              <w:top w:val="single" w:color="auto" w:sz="6" w:space="0"/>
              <w:left w:val="single" w:color="auto" w:sz="6" w:space="0"/>
              <w:bottom w:val="single" w:color="auto" w:sz="6" w:space="0"/>
            </w:tcBorders>
            <w:vAlign w:val="center"/>
          </w:tcPr>
          <w:p w14:paraId="4FC51D37">
            <w:pPr>
              <w:spacing w:line="240" w:lineRule="exact"/>
              <w:rPr>
                <w:rFonts w:hint="default"/>
                <w:lang w:val="en-US" w:eastAsia="zh-CN"/>
              </w:rPr>
            </w:pPr>
            <w:r>
              <w:rPr>
                <w:rFonts w:hint="eastAsia" w:ascii="宋体" w:hAnsi="宋体" w:cs="宋体"/>
                <w:sz w:val="24"/>
                <w:szCs w:val="24"/>
                <w:lang w:val="en-US" w:eastAsia="zh-CN"/>
              </w:rPr>
              <w:t>现金清分外包服务，详见采购需求</w:t>
            </w:r>
          </w:p>
        </w:tc>
      </w:tr>
      <w:tr w14:paraId="0E118B44">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33" w:hRule="atLeast"/>
          <w:jc w:val="center"/>
        </w:trPr>
        <w:tc>
          <w:tcPr>
            <w:tcW w:w="669" w:type="dxa"/>
            <w:tcBorders>
              <w:top w:val="single" w:color="auto" w:sz="6" w:space="0"/>
              <w:bottom w:val="single" w:color="auto" w:sz="6" w:space="0"/>
              <w:right w:val="single" w:color="auto" w:sz="6" w:space="0"/>
            </w:tcBorders>
            <w:vAlign w:val="center"/>
          </w:tcPr>
          <w:p w14:paraId="16E5C57B">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618" w:type="dxa"/>
            <w:tcBorders>
              <w:top w:val="single" w:color="auto" w:sz="6" w:space="0"/>
              <w:left w:val="single" w:color="auto" w:sz="6" w:space="0"/>
              <w:bottom w:val="single" w:color="auto" w:sz="6" w:space="0"/>
              <w:right w:val="single" w:color="auto" w:sz="6" w:space="0"/>
            </w:tcBorders>
            <w:vAlign w:val="center"/>
          </w:tcPr>
          <w:p w14:paraId="23FB102B">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采购预算价</w:t>
            </w:r>
          </w:p>
        </w:tc>
        <w:tc>
          <w:tcPr>
            <w:tcW w:w="7456" w:type="dxa"/>
            <w:tcBorders>
              <w:top w:val="single" w:color="auto" w:sz="6" w:space="0"/>
              <w:left w:val="single" w:color="auto" w:sz="6" w:space="0"/>
              <w:bottom w:val="single" w:color="auto" w:sz="6" w:space="0"/>
            </w:tcBorders>
            <w:vAlign w:val="center"/>
          </w:tcPr>
          <w:p w14:paraId="360CF31D">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cs="宋体"/>
                <w:sz w:val="24"/>
                <w:szCs w:val="24"/>
                <w:lang w:val="en-US" w:eastAsia="zh-CN"/>
              </w:rPr>
              <w:t>28.00万元</w:t>
            </w:r>
          </w:p>
        </w:tc>
      </w:tr>
      <w:tr w14:paraId="594EB5B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669" w:type="dxa"/>
            <w:tcBorders>
              <w:top w:val="single" w:color="auto" w:sz="6" w:space="0"/>
              <w:bottom w:val="single" w:color="auto" w:sz="6" w:space="0"/>
              <w:right w:val="single" w:color="auto" w:sz="6" w:space="0"/>
            </w:tcBorders>
            <w:vAlign w:val="center"/>
          </w:tcPr>
          <w:p w14:paraId="10A3BA3B">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618" w:type="dxa"/>
            <w:tcBorders>
              <w:top w:val="single" w:color="auto" w:sz="6" w:space="0"/>
              <w:left w:val="single" w:color="auto" w:sz="6" w:space="0"/>
              <w:bottom w:val="single" w:color="auto" w:sz="6" w:space="0"/>
              <w:right w:val="single" w:color="auto" w:sz="6" w:space="0"/>
            </w:tcBorders>
            <w:vAlign w:val="center"/>
          </w:tcPr>
          <w:p w14:paraId="4A149F32">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7456" w:type="dxa"/>
            <w:tcBorders>
              <w:top w:val="single" w:color="auto" w:sz="6" w:space="0"/>
              <w:left w:val="single" w:color="auto" w:sz="6" w:space="0"/>
              <w:bottom w:val="single" w:color="auto" w:sz="6" w:space="0"/>
            </w:tcBorders>
            <w:vAlign w:val="center"/>
          </w:tcPr>
          <w:p w14:paraId="511AF43B">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九十日历天</w:t>
            </w:r>
          </w:p>
        </w:tc>
      </w:tr>
      <w:tr w14:paraId="462674E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669" w:type="dxa"/>
            <w:tcBorders>
              <w:top w:val="single" w:color="auto" w:sz="6" w:space="0"/>
              <w:bottom w:val="single" w:color="auto" w:sz="6" w:space="0"/>
              <w:right w:val="single" w:color="auto" w:sz="6" w:space="0"/>
            </w:tcBorders>
            <w:vAlign w:val="center"/>
          </w:tcPr>
          <w:p w14:paraId="742EA8C6">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618" w:type="dxa"/>
            <w:tcBorders>
              <w:top w:val="single" w:color="auto" w:sz="6" w:space="0"/>
              <w:left w:val="single" w:color="auto" w:sz="6" w:space="0"/>
              <w:bottom w:val="single" w:color="auto" w:sz="6" w:space="0"/>
              <w:right w:val="single" w:color="auto" w:sz="6" w:space="0"/>
            </w:tcBorders>
            <w:vAlign w:val="center"/>
          </w:tcPr>
          <w:p w14:paraId="386E5956">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7456" w:type="dxa"/>
            <w:tcBorders>
              <w:top w:val="single" w:color="auto" w:sz="6" w:space="0"/>
              <w:left w:val="single" w:color="auto" w:sz="6" w:space="0"/>
              <w:bottom w:val="single" w:color="auto" w:sz="6" w:space="0"/>
            </w:tcBorders>
            <w:vAlign w:val="center"/>
          </w:tcPr>
          <w:p w14:paraId="6F160A95">
            <w:pPr>
              <w:spacing w:line="240" w:lineRule="exact"/>
              <w:jc w:val="left"/>
              <w:rPr>
                <w:rFonts w:hint="eastAsia" w:ascii="宋体" w:hAnsi="宋体" w:eastAsia="宋体" w:cs="宋体"/>
                <w:sz w:val="24"/>
                <w:szCs w:val="24"/>
              </w:rPr>
            </w:pPr>
            <w:r>
              <w:rPr>
                <w:rFonts w:hint="eastAsia" w:ascii="宋体" w:hAnsi="宋体" w:eastAsia="宋体" w:cs="宋体"/>
                <w:sz w:val="24"/>
                <w:szCs w:val="24"/>
              </w:rPr>
              <w:t>无</w:t>
            </w:r>
          </w:p>
        </w:tc>
      </w:tr>
      <w:tr w14:paraId="0958023F">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669" w:type="dxa"/>
            <w:tcBorders>
              <w:top w:val="single" w:color="auto" w:sz="6" w:space="0"/>
              <w:bottom w:val="single" w:color="auto" w:sz="6" w:space="0"/>
              <w:right w:val="single" w:color="auto" w:sz="6" w:space="0"/>
            </w:tcBorders>
            <w:vAlign w:val="center"/>
          </w:tcPr>
          <w:p w14:paraId="58D6C875">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618" w:type="dxa"/>
            <w:tcBorders>
              <w:top w:val="single" w:color="auto" w:sz="6" w:space="0"/>
              <w:left w:val="single" w:color="auto" w:sz="6" w:space="0"/>
              <w:bottom w:val="single" w:color="auto" w:sz="6" w:space="0"/>
              <w:right w:val="single" w:color="auto" w:sz="6" w:space="0"/>
            </w:tcBorders>
            <w:vAlign w:val="center"/>
          </w:tcPr>
          <w:p w14:paraId="070393C1">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履约保证金</w:t>
            </w:r>
          </w:p>
        </w:tc>
        <w:tc>
          <w:tcPr>
            <w:tcW w:w="7456" w:type="dxa"/>
            <w:tcBorders>
              <w:top w:val="single" w:color="auto" w:sz="6" w:space="0"/>
              <w:left w:val="single" w:color="auto" w:sz="6" w:space="0"/>
              <w:bottom w:val="single" w:color="auto" w:sz="6" w:space="0"/>
            </w:tcBorders>
            <w:vAlign w:val="center"/>
          </w:tcPr>
          <w:p w14:paraId="5E5FA223">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本项目不收取</w:t>
            </w:r>
          </w:p>
        </w:tc>
      </w:tr>
      <w:tr w14:paraId="6A20958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669" w:type="dxa"/>
            <w:tcBorders>
              <w:top w:val="single" w:color="auto" w:sz="6" w:space="0"/>
              <w:bottom w:val="single" w:color="auto" w:sz="6" w:space="0"/>
              <w:right w:val="single" w:color="auto" w:sz="6" w:space="0"/>
            </w:tcBorders>
            <w:vAlign w:val="center"/>
          </w:tcPr>
          <w:p w14:paraId="30BAE208">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618" w:type="dxa"/>
            <w:tcBorders>
              <w:top w:val="single" w:color="auto" w:sz="6" w:space="0"/>
              <w:left w:val="single" w:color="auto" w:sz="6" w:space="0"/>
              <w:bottom w:val="single" w:color="auto" w:sz="6" w:space="0"/>
              <w:right w:val="single" w:color="auto" w:sz="6" w:space="0"/>
            </w:tcBorders>
            <w:vAlign w:val="center"/>
          </w:tcPr>
          <w:p w14:paraId="575A66CF">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招标文件获取</w:t>
            </w:r>
          </w:p>
        </w:tc>
        <w:tc>
          <w:tcPr>
            <w:tcW w:w="7456" w:type="dxa"/>
            <w:tcBorders>
              <w:top w:val="single" w:color="auto" w:sz="6" w:space="0"/>
              <w:left w:val="single" w:color="auto" w:sz="6" w:space="0"/>
              <w:bottom w:val="single" w:color="auto" w:sz="6" w:space="0"/>
            </w:tcBorders>
            <w:vAlign w:val="center"/>
          </w:tcPr>
          <w:p w14:paraId="16932BDF">
            <w:pPr>
              <w:spacing w:line="240" w:lineRule="exact"/>
              <w:rPr>
                <w:rFonts w:hint="eastAsia" w:ascii="宋体" w:hAnsi="宋体" w:eastAsia="宋体" w:cs="宋体"/>
                <w:sz w:val="24"/>
                <w:szCs w:val="24"/>
                <w:u w:val="single"/>
              </w:rPr>
            </w:pPr>
            <w:r>
              <w:rPr>
                <w:rFonts w:hint="eastAsia" w:ascii="宋体" w:hAnsi="宋体" w:eastAsia="宋体" w:cs="宋体"/>
                <w:kern w:val="0"/>
                <w:sz w:val="24"/>
                <w:szCs w:val="24"/>
                <w:shd w:val="clear" w:color="auto" w:fill="FFFFFF"/>
              </w:rPr>
              <w:t>见招标公告</w:t>
            </w:r>
          </w:p>
        </w:tc>
      </w:tr>
      <w:tr w14:paraId="20CFBA9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669" w:type="dxa"/>
            <w:tcBorders>
              <w:top w:val="single" w:color="auto" w:sz="6" w:space="0"/>
              <w:bottom w:val="single" w:color="auto" w:sz="6" w:space="0"/>
              <w:right w:val="single" w:color="auto" w:sz="6" w:space="0"/>
            </w:tcBorders>
            <w:vAlign w:val="center"/>
          </w:tcPr>
          <w:p w14:paraId="6C2D7468">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618" w:type="dxa"/>
            <w:tcBorders>
              <w:top w:val="single" w:color="auto" w:sz="6" w:space="0"/>
              <w:left w:val="single" w:color="auto" w:sz="6" w:space="0"/>
              <w:bottom w:val="single" w:color="auto" w:sz="6" w:space="0"/>
              <w:right w:val="single" w:color="auto" w:sz="6" w:space="0"/>
            </w:tcBorders>
            <w:vAlign w:val="center"/>
          </w:tcPr>
          <w:p w14:paraId="05572D2E">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7456" w:type="dxa"/>
            <w:tcBorders>
              <w:top w:val="single" w:color="auto" w:sz="6" w:space="0"/>
              <w:left w:val="single" w:color="auto" w:sz="6" w:space="0"/>
              <w:bottom w:val="single" w:color="auto" w:sz="6" w:space="0"/>
            </w:tcBorders>
            <w:vAlign w:val="center"/>
          </w:tcPr>
          <w:p w14:paraId="2BEDA1B1">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
                <w:sz w:val="24"/>
                <w:szCs w:val="24"/>
              </w:rPr>
            </w:pPr>
            <w:r>
              <w:rPr>
                <w:rFonts w:hint="eastAsia" w:ascii="宋体" w:hAnsi="宋体" w:eastAsia="宋体" w:cs="宋体"/>
                <w:sz w:val="24"/>
                <w:szCs w:val="24"/>
                <w:lang w:val="en-US" w:eastAsia="zh-CN"/>
              </w:rPr>
              <w:t>现场递交制作的纸质标书装订成册一正二副，密封装订，外密封套加盖单位公章注明项目名称、编号、投标单位名称 。未按要求密封递交的投标文件招标人不予接受。</w:t>
            </w:r>
          </w:p>
        </w:tc>
      </w:tr>
      <w:tr w14:paraId="6CD5562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50" w:hRule="atLeast"/>
          <w:jc w:val="center"/>
        </w:trPr>
        <w:tc>
          <w:tcPr>
            <w:tcW w:w="669" w:type="dxa"/>
            <w:tcBorders>
              <w:top w:val="single" w:color="auto" w:sz="6" w:space="0"/>
              <w:bottom w:val="single" w:color="auto" w:sz="6" w:space="0"/>
              <w:right w:val="single" w:color="auto" w:sz="6" w:space="0"/>
            </w:tcBorders>
            <w:vAlign w:val="center"/>
          </w:tcPr>
          <w:p w14:paraId="4ECD0BA3">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11</w:t>
            </w:r>
          </w:p>
        </w:tc>
        <w:tc>
          <w:tcPr>
            <w:tcW w:w="1618" w:type="dxa"/>
            <w:tcBorders>
              <w:top w:val="single" w:color="auto" w:sz="6" w:space="0"/>
              <w:left w:val="single" w:color="auto" w:sz="6" w:space="0"/>
              <w:bottom w:val="single" w:color="auto" w:sz="6" w:space="0"/>
              <w:right w:val="single" w:color="auto" w:sz="6" w:space="0"/>
            </w:tcBorders>
            <w:vAlign w:val="center"/>
          </w:tcPr>
          <w:p w14:paraId="36F260E0">
            <w:pPr>
              <w:autoSpaceDE w:val="0"/>
              <w:autoSpaceDN w:val="0"/>
              <w:adjustRightInd w:val="0"/>
              <w:spacing w:line="240" w:lineRule="exact"/>
              <w:jc w:val="center"/>
              <w:rPr>
                <w:rFonts w:hint="eastAsia" w:ascii="宋体" w:hAnsi="宋体" w:eastAsia="宋体" w:cs="宋体"/>
                <w:b/>
                <w:sz w:val="24"/>
                <w:szCs w:val="24"/>
              </w:rPr>
            </w:pPr>
            <w:r>
              <w:rPr>
                <w:rFonts w:hint="eastAsia" w:ascii="宋体" w:hAnsi="宋体" w:eastAsia="宋体" w:cs="宋体"/>
                <w:sz w:val="24"/>
                <w:szCs w:val="24"/>
              </w:rPr>
              <w:t>开标时间</w:t>
            </w:r>
          </w:p>
        </w:tc>
        <w:tc>
          <w:tcPr>
            <w:tcW w:w="7456" w:type="dxa"/>
            <w:tcBorders>
              <w:top w:val="single" w:color="auto" w:sz="6" w:space="0"/>
              <w:left w:val="single" w:color="auto" w:sz="6" w:space="0"/>
              <w:bottom w:val="single" w:color="auto" w:sz="6" w:space="0"/>
            </w:tcBorders>
            <w:vAlign w:val="center"/>
          </w:tcPr>
          <w:p w14:paraId="51FDEB3B">
            <w:pPr>
              <w:autoSpaceDE w:val="0"/>
              <w:autoSpaceDN w:val="0"/>
              <w:adjustRightInd w:val="0"/>
              <w:spacing w:line="240" w:lineRule="exact"/>
              <w:jc w:val="left"/>
              <w:rPr>
                <w:rFonts w:hint="eastAsia" w:ascii="宋体" w:hAnsi="宋体" w:eastAsia="宋体" w:cs="宋体"/>
                <w:b/>
                <w:sz w:val="24"/>
                <w:szCs w:val="24"/>
              </w:rPr>
            </w:pP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0分（北京时间）</w:t>
            </w:r>
          </w:p>
        </w:tc>
      </w:tr>
      <w:tr w14:paraId="5AE58CB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34" w:hRule="atLeast"/>
          <w:jc w:val="center"/>
        </w:trPr>
        <w:tc>
          <w:tcPr>
            <w:tcW w:w="669" w:type="dxa"/>
            <w:tcBorders>
              <w:top w:val="single" w:color="auto" w:sz="6" w:space="0"/>
              <w:bottom w:val="single" w:color="auto" w:sz="6" w:space="0"/>
              <w:right w:val="single" w:color="auto" w:sz="6" w:space="0"/>
            </w:tcBorders>
            <w:vAlign w:val="center"/>
          </w:tcPr>
          <w:p w14:paraId="0B477FE4">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1618" w:type="dxa"/>
            <w:tcBorders>
              <w:top w:val="single" w:color="auto" w:sz="6" w:space="0"/>
              <w:left w:val="single" w:color="auto" w:sz="6" w:space="0"/>
              <w:bottom w:val="single" w:color="auto" w:sz="6" w:space="0"/>
              <w:right w:val="single" w:color="auto" w:sz="6" w:space="0"/>
            </w:tcBorders>
            <w:vAlign w:val="center"/>
          </w:tcPr>
          <w:p w14:paraId="344959B2">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资质要求</w:t>
            </w:r>
          </w:p>
        </w:tc>
        <w:tc>
          <w:tcPr>
            <w:tcW w:w="7456" w:type="dxa"/>
            <w:tcBorders>
              <w:top w:val="single" w:color="auto" w:sz="6" w:space="0"/>
              <w:left w:val="single" w:color="auto" w:sz="6" w:space="0"/>
              <w:bottom w:val="single" w:color="auto" w:sz="6" w:space="0"/>
            </w:tcBorders>
            <w:vAlign w:val="center"/>
          </w:tcPr>
          <w:p w14:paraId="480699DB">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详见采购公告要求</w:t>
            </w:r>
          </w:p>
        </w:tc>
      </w:tr>
      <w:tr w14:paraId="55B13DA3">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45" w:hRule="atLeast"/>
          <w:jc w:val="center"/>
        </w:trPr>
        <w:tc>
          <w:tcPr>
            <w:tcW w:w="669" w:type="dxa"/>
            <w:tcBorders>
              <w:top w:val="single" w:color="auto" w:sz="6" w:space="0"/>
              <w:bottom w:val="single" w:color="auto" w:sz="6" w:space="0"/>
              <w:right w:val="single" w:color="auto" w:sz="6" w:space="0"/>
            </w:tcBorders>
            <w:vAlign w:val="center"/>
          </w:tcPr>
          <w:p w14:paraId="789403BF">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13</w:t>
            </w:r>
          </w:p>
        </w:tc>
        <w:tc>
          <w:tcPr>
            <w:tcW w:w="1618" w:type="dxa"/>
            <w:tcBorders>
              <w:top w:val="single" w:color="auto" w:sz="6" w:space="0"/>
              <w:left w:val="single" w:color="auto" w:sz="6" w:space="0"/>
              <w:bottom w:val="single" w:color="auto" w:sz="6" w:space="0"/>
              <w:right w:val="single" w:color="auto" w:sz="6" w:space="0"/>
            </w:tcBorders>
            <w:vAlign w:val="center"/>
          </w:tcPr>
          <w:p w14:paraId="3577F8FB">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评标方法</w:t>
            </w:r>
          </w:p>
        </w:tc>
        <w:tc>
          <w:tcPr>
            <w:tcW w:w="7456" w:type="dxa"/>
            <w:tcBorders>
              <w:top w:val="single" w:color="auto" w:sz="6" w:space="0"/>
              <w:left w:val="single" w:color="auto" w:sz="6" w:space="0"/>
              <w:bottom w:val="single" w:color="auto" w:sz="6" w:space="0"/>
            </w:tcBorders>
            <w:vAlign w:val="center"/>
          </w:tcPr>
          <w:p w14:paraId="01D31F02">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综合评分法</w:t>
            </w:r>
          </w:p>
        </w:tc>
      </w:tr>
      <w:tr w14:paraId="12EB821A">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900" w:hRule="atLeast"/>
          <w:jc w:val="center"/>
        </w:trPr>
        <w:tc>
          <w:tcPr>
            <w:tcW w:w="669" w:type="dxa"/>
            <w:tcBorders>
              <w:top w:val="single" w:color="auto" w:sz="6" w:space="0"/>
              <w:bottom w:val="single" w:color="auto" w:sz="6" w:space="0"/>
              <w:right w:val="single" w:color="auto" w:sz="6" w:space="0"/>
            </w:tcBorders>
            <w:vAlign w:val="center"/>
          </w:tcPr>
          <w:p w14:paraId="671BFD27">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14</w:t>
            </w:r>
          </w:p>
        </w:tc>
        <w:tc>
          <w:tcPr>
            <w:tcW w:w="1618" w:type="dxa"/>
            <w:tcBorders>
              <w:top w:val="single" w:color="auto" w:sz="6" w:space="0"/>
              <w:left w:val="single" w:color="auto" w:sz="6" w:space="0"/>
              <w:bottom w:val="single" w:color="auto" w:sz="6" w:space="0"/>
              <w:right w:val="single" w:color="auto" w:sz="6" w:space="0"/>
            </w:tcBorders>
            <w:vAlign w:val="center"/>
          </w:tcPr>
          <w:p w14:paraId="3FA26E32">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中标通知书领取时间、地点</w:t>
            </w:r>
          </w:p>
        </w:tc>
        <w:tc>
          <w:tcPr>
            <w:tcW w:w="7456" w:type="dxa"/>
            <w:tcBorders>
              <w:top w:val="single" w:color="auto" w:sz="6" w:space="0"/>
              <w:left w:val="single" w:color="auto" w:sz="6" w:space="0"/>
              <w:bottom w:val="single" w:color="auto" w:sz="6" w:space="0"/>
            </w:tcBorders>
            <w:vAlign w:val="center"/>
          </w:tcPr>
          <w:p w14:paraId="18FC9752">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中标结果公告发布后五个工作日内至招标代理单位领取</w:t>
            </w:r>
          </w:p>
        </w:tc>
      </w:tr>
      <w:tr w14:paraId="4FFFE580">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60" w:hRule="atLeast"/>
          <w:jc w:val="center"/>
        </w:trPr>
        <w:tc>
          <w:tcPr>
            <w:tcW w:w="669" w:type="dxa"/>
            <w:tcBorders>
              <w:top w:val="single" w:color="auto" w:sz="6" w:space="0"/>
              <w:bottom w:val="single" w:color="auto" w:sz="6" w:space="0"/>
              <w:right w:val="single" w:color="auto" w:sz="6" w:space="0"/>
            </w:tcBorders>
            <w:vAlign w:val="center"/>
          </w:tcPr>
          <w:p w14:paraId="2C152721">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15</w:t>
            </w:r>
          </w:p>
        </w:tc>
        <w:tc>
          <w:tcPr>
            <w:tcW w:w="1618" w:type="dxa"/>
            <w:tcBorders>
              <w:top w:val="single" w:color="auto" w:sz="6" w:space="0"/>
              <w:left w:val="single" w:color="auto" w:sz="6" w:space="0"/>
              <w:bottom w:val="single" w:color="auto" w:sz="6" w:space="0"/>
              <w:right w:val="single" w:color="auto" w:sz="6" w:space="0"/>
            </w:tcBorders>
            <w:vAlign w:val="center"/>
          </w:tcPr>
          <w:p w14:paraId="0CFCF027">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封套上应载明的信息</w:t>
            </w:r>
          </w:p>
        </w:tc>
        <w:tc>
          <w:tcPr>
            <w:tcW w:w="7456" w:type="dxa"/>
            <w:tcBorders>
              <w:top w:val="single" w:color="auto" w:sz="6" w:space="0"/>
              <w:left w:val="single" w:color="auto" w:sz="6" w:space="0"/>
              <w:bottom w:val="single" w:color="auto" w:sz="6" w:space="0"/>
            </w:tcBorders>
            <w:vAlign w:val="center"/>
          </w:tcPr>
          <w:p w14:paraId="11EFDB49">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以招标文件格式中的封面格式为准</w:t>
            </w:r>
          </w:p>
        </w:tc>
      </w:tr>
      <w:tr w14:paraId="39B7BCD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669" w:type="dxa"/>
            <w:tcBorders>
              <w:top w:val="single" w:color="auto" w:sz="6" w:space="0"/>
              <w:bottom w:val="single" w:color="auto" w:sz="6" w:space="0"/>
              <w:right w:val="single" w:color="auto" w:sz="6" w:space="0"/>
            </w:tcBorders>
            <w:vAlign w:val="center"/>
          </w:tcPr>
          <w:p w14:paraId="0AFCFD00">
            <w:pPr>
              <w:autoSpaceDE w:val="0"/>
              <w:autoSpaceDN w:val="0"/>
              <w:adjustRightInd w:val="0"/>
              <w:spacing w:line="240" w:lineRule="exact"/>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6</w:t>
            </w:r>
          </w:p>
        </w:tc>
        <w:tc>
          <w:tcPr>
            <w:tcW w:w="1618" w:type="dxa"/>
            <w:tcBorders>
              <w:top w:val="single" w:color="auto" w:sz="6" w:space="0"/>
              <w:left w:val="single" w:color="auto" w:sz="6" w:space="0"/>
              <w:bottom w:val="single" w:color="auto" w:sz="6" w:space="0"/>
              <w:right w:val="single" w:color="auto" w:sz="6" w:space="0"/>
            </w:tcBorders>
            <w:vAlign w:val="center"/>
          </w:tcPr>
          <w:p w14:paraId="35C615DB">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现场递交资料</w:t>
            </w:r>
          </w:p>
        </w:tc>
        <w:tc>
          <w:tcPr>
            <w:tcW w:w="7456" w:type="dxa"/>
            <w:tcBorders>
              <w:top w:val="single" w:color="auto" w:sz="6" w:space="0"/>
              <w:left w:val="single" w:color="auto" w:sz="6" w:space="0"/>
              <w:bottom w:val="single" w:color="auto" w:sz="6" w:space="0"/>
            </w:tcBorders>
            <w:vAlign w:val="center"/>
          </w:tcPr>
          <w:p w14:paraId="7A379FEA">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响应文件、授权委托书（原件）、身份证（复印件加盖公章）以及资格审查需要提供的资料。</w:t>
            </w:r>
          </w:p>
        </w:tc>
      </w:tr>
    </w:tbl>
    <w:p w14:paraId="60530310">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w w:val="95"/>
          <w:sz w:val="28"/>
          <w:szCs w:val="28"/>
          <w:lang w:val="en-US" w:eastAsia="zh-CN"/>
        </w:rPr>
      </w:pPr>
      <w:bookmarkStart w:id="1" w:name="OLE_LINK1"/>
    </w:p>
    <w:p w14:paraId="652FFD4E">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cs="宋体"/>
          <w:b/>
          <w:w w:val="95"/>
          <w:sz w:val="32"/>
          <w:szCs w:val="32"/>
          <w:lang w:eastAsia="zh-CN"/>
        </w:rPr>
      </w:pPr>
      <w:r>
        <w:rPr>
          <w:rFonts w:hint="eastAsia" w:ascii="宋体" w:hAnsi="宋体" w:eastAsia="宋体" w:cs="宋体"/>
          <w:b/>
          <w:w w:val="95"/>
          <w:sz w:val="28"/>
          <w:szCs w:val="28"/>
          <w:lang w:val="en-US" w:eastAsia="zh-CN"/>
        </w:rPr>
        <w:t xml:space="preserve">第一篇 </w:t>
      </w:r>
      <w:bookmarkStart w:id="2" w:name="_Hlk38804520"/>
      <w:r>
        <w:rPr>
          <w:rFonts w:hint="eastAsia" w:ascii="宋体" w:cs="宋体"/>
          <w:b/>
          <w:w w:val="95"/>
          <w:sz w:val="32"/>
          <w:szCs w:val="32"/>
          <w:lang w:eastAsia="zh-CN"/>
        </w:rPr>
        <w:t>江苏盱眙农村商业银行</w:t>
      </w:r>
    </w:p>
    <w:p w14:paraId="0C45C642">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ascii="宋体" w:hAnsi="宋体" w:cs="宋体"/>
          <w:b/>
          <w:bCs/>
          <w:w w:val="95"/>
          <w:kern w:val="0"/>
          <w:sz w:val="32"/>
          <w:szCs w:val="32"/>
          <w:lang w:val="zh-CN"/>
        </w:rPr>
      </w:pPr>
      <w:r>
        <w:rPr>
          <w:rFonts w:hint="eastAsia" w:ascii="宋体" w:cs="宋体"/>
          <w:b/>
          <w:w w:val="95"/>
          <w:sz w:val="32"/>
          <w:szCs w:val="32"/>
          <w:lang w:eastAsia="zh-CN"/>
        </w:rPr>
        <w:t>现金清分外包服务采购项目</w:t>
      </w:r>
      <w:r>
        <w:rPr>
          <w:rFonts w:ascii="宋体" w:cs="宋体"/>
          <w:b/>
          <w:w w:val="95"/>
          <w:sz w:val="32"/>
          <w:szCs w:val="32"/>
        </w:rPr>
        <w:t>竞争性磋商</w:t>
      </w:r>
      <w:r>
        <w:rPr>
          <w:rFonts w:hint="eastAsia" w:ascii="宋体" w:hAnsi="宋体" w:cs="宋体"/>
          <w:b/>
          <w:bCs/>
          <w:w w:val="95"/>
          <w:kern w:val="0"/>
          <w:sz w:val="32"/>
          <w:szCs w:val="32"/>
          <w:lang w:val="zh-CN"/>
        </w:rPr>
        <w:t xml:space="preserve">公告 </w:t>
      </w:r>
    </w:p>
    <w:p w14:paraId="3B2440C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643" w:firstLineChars="200"/>
        <w:jc w:val="left"/>
        <w:textAlignment w:val="auto"/>
        <w:rPr>
          <w:rFonts w:hint="eastAsia" w:ascii="宋体" w:hAnsi="宋体" w:eastAsia="宋体" w:cs="宋体"/>
          <w:sz w:val="24"/>
          <w:szCs w:val="24"/>
        </w:rPr>
      </w:pPr>
      <w:r>
        <w:rPr>
          <w:sz w:val="32"/>
        </w:rPr>
        <mc:AlternateContent>
          <mc:Choice Requires="wps">
            <w:drawing>
              <wp:anchor distT="0" distB="0" distL="114300" distR="114300" simplePos="0" relativeHeight="251661312" behindDoc="0" locked="0" layoutInCell="1" allowOverlap="1">
                <wp:simplePos x="0" y="0"/>
                <wp:positionH relativeFrom="column">
                  <wp:posOffset>-226060</wp:posOffset>
                </wp:positionH>
                <wp:positionV relativeFrom="paragraph">
                  <wp:posOffset>-92710</wp:posOffset>
                </wp:positionV>
                <wp:extent cx="5969000" cy="1270000"/>
                <wp:effectExtent l="6350" t="6350" r="6350" b="19050"/>
                <wp:wrapNone/>
                <wp:docPr id="1" name="矩形 1"/>
                <wp:cNvGraphicFramePr/>
                <a:graphic xmlns:a="http://schemas.openxmlformats.org/drawingml/2006/main">
                  <a:graphicData uri="http://schemas.microsoft.com/office/word/2010/wordprocessingShape">
                    <wps:wsp>
                      <wps:cNvSpPr/>
                      <wps:spPr>
                        <a:xfrm>
                          <a:off x="0" y="0"/>
                          <a:ext cx="5969000" cy="127000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pt;margin-top:-7.3pt;height:100pt;width:470pt;z-index:251661312;v-text-anchor:middle;mso-width-relative:page;mso-height-relative:page;" filled="f" stroked="t" coordsize="21600,21600" o:gfxdata="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Z5jNgAAAALAQAADwAAAAAAAAABACAAAAAiAAAAZHJzL2Rvd25yZXYueG1sUEsBAhQAFAAA&#10;AAgAh07iQMwVcyxhAgAAzAQAAA4AAAAAAAAAAQAgAAAAJwEAAGRycy9lMm9Eb2MueG1sUEsFBgAA&#10;AAAGAAYAWQEAAPoFAAAAAA==&#10;">
                <v:fill on="f" focussize="0,0"/>
                <v:stroke weight="1pt" color="#000000 [3213]" miterlimit="8" joinstyle="miter"/>
                <v:imagedata o:title=""/>
                <o:lock v:ext="edit" aspectratio="f"/>
              </v:rect>
            </w:pict>
          </mc:Fallback>
        </mc:AlternateContent>
      </w:r>
      <w:r>
        <w:rPr>
          <w:rFonts w:hint="eastAsia" w:ascii="宋体" w:hAnsi="宋体" w:eastAsia="宋体" w:cs="宋体"/>
          <w:b w:val="0"/>
          <w:bCs w:val="0"/>
          <w:kern w:val="2"/>
          <w:sz w:val="24"/>
          <w:szCs w:val="24"/>
        </w:rPr>
        <w:t>项目概况</w:t>
      </w:r>
      <w:r>
        <w:rPr>
          <w:rFonts w:hint="eastAsia" w:ascii="宋体" w:hAnsi="宋体" w:cs="宋体"/>
          <w:b w:val="0"/>
          <w:bCs w:val="0"/>
          <w:kern w:val="2"/>
          <w:sz w:val="24"/>
          <w:szCs w:val="24"/>
          <w:lang w:eastAsia="zh-CN"/>
        </w:rPr>
        <w:t>：江苏盱眙农村商业银行现金清分外包项目的潜在投标人应在网站http://www.xybank.net/下载获取招标文件。</w:t>
      </w:r>
    </w:p>
    <w:p w14:paraId="0A78843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jc w:val="left"/>
        <w:textAlignment w:val="auto"/>
        <w:rPr>
          <w:rFonts w:hint="eastAsia" w:ascii="宋体" w:hAnsi="宋体" w:eastAsia="宋体" w:cs="宋体"/>
          <w:sz w:val="24"/>
          <w:szCs w:val="24"/>
        </w:rPr>
      </w:pPr>
      <w:r>
        <w:rPr>
          <w:rFonts w:hint="eastAsia" w:ascii="宋体" w:hAnsi="宋体" w:cs="宋体"/>
          <w:b w:val="0"/>
          <w:bCs w:val="0"/>
          <w:kern w:val="2"/>
          <w:sz w:val="24"/>
          <w:szCs w:val="24"/>
          <w:lang w:eastAsia="zh-CN"/>
        </w:rPr>
        <w:t>注：投标人须持续关注电子数据发布的信息（含更正、修改等信息），否则产生的后果由投标人自行承担。</w:t>
      </w:r>
    </w:p>
    <w:p w14:paraId="67865F8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bookmarkStart w:id="3" w:name="_Toc35393798"/>
      <w:bookmarkStart w:id="4" w:name="_Toc28359089"/>
      <w:bookmarkStart w:id="5" w:name="_Toc28359012"/>
      <w:bookmarkStart w:id="6" w:name="_Toc35393629"/>
      <w:bookmarkStart w:id="7" w:name="_Toc28359091"/>
      <w:bookmarkStart w:id="8" w:name="_Toc28359014"/>
      <w:bookmarkStart w:id="9" w:name="_Toc35393800"/>
      <w:bookmarkStart w:id="10" w:name="_Toc35393631"/>
      <w:r>
        <w:rPr>
          <w:rFonts w:hint="eastAsia" w:ascii="宋体" w:hAnsi="宋体" w:eastAsia="宋体" w:cs="宋体"/>
          <w:b w:val="0"/>
          <w:bCs w:val="0"/>
          <w:kern w:val="2"/>
          <w:sz w:val="24"/>
          <w:szCs w:val="24"/>
          <w:lang w:val="en-US" w:eastAsia="zh-CN"/>
        </w:rPr>
        <w:t>一、项目基本情况</w:t>
      </w:r>
      <w:bookmarkEnd w:id="3"/>
      <w:bookmarkEnd w:id="4"/>
      <w:bookmarkEnd w:id="5"/>
      <w:bookmarkEnd w:id="6"/>
    </w:p>
    <w:p w14:paraId="1D181FA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项目编号 ：</w:t>
      </w:r>
      <w:r>
        <w:rPr>
          <w:rFonts w:hint="eastAsia" w:ascii="宋体" w:hAnsi="宋体" w:cs="宋体"/>
          <w:b w:val="0"/>
          <w:bCs w:val="0"/>
          <w:kern w:val="2"/>
          <w:sz w:val="24"/>
          <w:szCs w:val="24"/>
          <w:lang w:val="en-US" w:eastAsia="zh-CN"/>
        </w:rPr>
        <w:t>XSYC-2026-1-022</w:t>
      </w:r>
    </w:p>
    <w:p w14:paraId="18980B1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lang w:val="en-US" w:eastAsia="zh-CN"/>
        </w:rPr>
      </w:pPr>
      <w:r>
        <w:rPr>
          <w:rFonts w:hint="eastAsia" w:ascii="宋体" w:hAnsi="宋体" w:eastAsia="宋体" w:cs="宋体"/>
          <w:b w:val="0"/>
          <w:bCs w:val="0"/>
          <w:kern w:val="2"/>
          <w:sz w:val="24"/>
          <w:szCs w:val="24"/>
          <w:lang w:val="en-US" w:eastAsia="zh-CN"/>
        </w:rPr>
        <w:t>项目名称：</w:t>
      </w:r>
      <w:r>
        <w:rPr>
          <w:rFonts w:hint="eastAsia" w:ascii="宋体" w:hAnsi="宋体" w:cs="宋体"/>
          <w:b w:val="0"/>
          <w:bCs w:val="0"/>
          <w:kern w:val="2"/>
          <w:sz w:val="24"/>
          <w:szCs w:val="24"/>
          <w:lang w:val="en-US" w:eastAsia="zh-CN"/>
        </w:rPr>
        <w:t>江苏盱眙农村商业银行现金清分外包项目</w:t>
      </w:r>
    </w:p>
    <w:p w14:paraId="0FB24BC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项目采购方式：□竞争性谈判☑竞争性磋商 □询价</w:t>
      </w:r>
    </w:p>
    <w:p w14:paraId="38E7B93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预算金额：</w:t>
      </w:r>
      <w:r>
        <w:rPr>
          <w:rFonts w:hint="eastAsia" w:ascii="宋体" w:hAnsi="宋体" w:cs="宋体"/>
          <w:b w:val="0"/>
          <w:bCs w:val="0"/>
          <w:kern w:val="2"/>
          <w:sz w:val="24"/>
          <w:szCs w:val="24"/>
          <w:lang w:val="en-US" w:eastAsia="zh-CN"/>
        </w:rPr>
        <w:t>28.00万元</w:t>
      </w:r>
    </w:p>
    <w:p w14:paraId="5B88C5F1">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最高限价：</w:t>
      </w:r>
      <w:r>
        <w:rPr>
          <w:rFonts w:hint="eastAsia" w:ascii="宋体" w:hAnsi="宋体" w:cs="宋体"/>
          <w:b w:val="0"/>
          <w:bCs w:val="0"/>
          <w:kern w:val="2"/>
          <w:sz w:val="24"/>
          <w:szCs w:val="24"/>
          <w:lang w:val="en-US" w:eastAsia="zh-CN"/>
        </w:rPr>
        <w:t>28.00万元</w:t>
      </w:r>
    </w:p>
    <w:p w14:paraId="6E986BD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采购需求：</w:t>
      </w:r>
      <w:r>
        <w:rPr>
          <w:rFonts w:hint="eastAsia" w:ascii="宋体" w:hAnsi="宋体" w:cs="宋体"/>
          <w:b w:val="0"/>
          <w:bCs w:val="0"/>
          <w:kern w:val="2"/>
          <w:sz w:val="24"/>
          <w:szCs w:val="24"/>
          <w:lang w:val="en-US" w:eastAsia="zh-CN"/>
        </w:rPr>
        <w:t>江苏盱眙农村商业银行现金清分外包项目，具体</w:t>
      </w:r>
      <w:r>
        <w:rPr>
          <w:rFonts w:hint="eastAsia" w:ascii="宋体" w:hAnsi="宋体" w:eastAsia="宋体" w:cs="宋体"/>
          <w:b w:val="0"/>
          <w:bCs w:val="0"/>
          <w:kern w:val="2"/>
          <w:sz w:val="24"/>
          <w:szCs w:val="24"/>
          <w:lang w:val="en-US" w:eastAsia="zh-CN"/>
        </w:rPr>
        <w:t>详见采购需求</w:t>
      </w:r>
    </w:p>
    <w:p w14:paraId="366E44FD">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合同履行期限：</w:t>
      </w:r>
      <w:r>
        <w:rPr>
          <w:rFonts w:hint="eastAsia" w:ascii="宋体" w:hAnsi="宋体" w:cs="宋体"/>
          <w:b w:val="0"/>
          <w:bCs w:val="0"/>
          <w:kern w:val="2"/>
          <w:sz w:val="24"/>
          <w:szCs w:val="24"/>
          <w:lang w:val="en-US" w:eastAsia="zh-CN"/>
        </w:rPr>
        <w:t>一年</w:t>
      </w:r>
    </w:p>
    <w:p w14:paraId="083775CD">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本项目不接受联合体。</w:t>
      </w:r>
    </w:p>
    <w:p w14:paraId="7C86E82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二、申请人的资格要求:</w:t>
      </w:r>
    </w:p>
    <w:p w14:paraId="30A45978">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1、满足《中华人民共和国政府采购法》第二十二条规定、《中华人民共和国政府采购法实施条例》第十七条和第十八条的规定，并提供下列审查材料：</w:t>
      </w:r>
    </w:p>
    <w:p w14:paraId="7A57BE7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2、本项目的资格要求：</w:t>
      </w:r>
    </w:p>
    <w:tbl>
      <w:tblPr>
        <w:tblStyle w:val="48"/>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09"/>
        <w:gridCol w:w="4247"/>
        <w:gridCol w:w="2220"/>
        <w:gridCol w:w="1046"/>
      </w:tblGrid>
      <w:tr w14:paraId="1BA1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850" w:type="dxa"/>
            <w:tcBorders>
              <w:top w:val="single" w:color="auto" w:sz="4" w:space="0"/>
              <w:left w:val="single" w:color="auto" w:sz="4" w:space="0"/>
              <w:bottom w:val="single" w:color="auto" w:sz="4" w:space="0"/>
              <w:right w:val="single" w:color="auto" w:sz="4" w:space="0"/>
            </w:tcBorders>
            <w:vAlign w:val="center"/>
          </w:tcPr>
          <w:p w14:paraId="5876E7CC">
            <w:pPr>
              <w:widowControl/>
              <w:spacing w:line="360" w:lineRule="exact"/>
              <w:jc w:val="center"/>
              <w:rPr>
                <w:rFonts w:ascii="宋体" w:hAnsi="宋体" w:cs="宋体"/>
                <w:kern w:val="0"/>
                <w:sz w:val="24"/>
                <w:szCs w:val="24"/>
              </w:rPr>
            </w:pPr>
            <w:r>
              <w:rPr>
                <w:rFonts w:hint="eastAsia" w:ascii="宋体" w:hAnsi="宋体" w:cs="宋体"/>
                <w:kern w:val="0"/>
                <w:sz w:val="24"/>
                <w:szCs w:val="24"/>
              </w:rPr>
              <w:t>序号</w:t>
            </w:r>
          </w:p>
        </w:tc>
        <w:tc>
          <w:tcPr>
            <w:tcW w:w="4956" w:type="dxa"/>
            <w:gridSpan w:val="2"/>
            <w:tcBorders>
              <w:top w:val="single" w:color="auto" w:sz="4" w:space="0"/>
              <w:left w:val="single" w:color="auto" w:sz="4" w:space="0"/>
              <w:bottom w:val="single" w:color="auto" w:sz="4" w:space="0"/>
              <w:right w:val="single" w:color="auto" w:sz="4" w:space="0"/>
            </w:tcBorders>
            <w:vAlign w:val="center"/>
          </w:tcPr>
          <w:p w14:paraId="193013ED">
            <w:pPr>
              <w:widowControl/>
              <w:spacing w:line="360" w:lineRule="exact"/>
              <w:jc w:val="center"/>
              <w:rPr>
                <w:rFonts w:ascii="宋体" w:hAnsi="宋体" w:cs="宋体"/>
                <w:kern w:val="0"/>
                <w:sz w:val="24"/>
                <w:szCs w:val="24"/>
              </w:rPr>
            </w:pPr>
            <w:r>
              <w:rPr>
                <w:rFonts w:hint="eastAsia" w:ascii="宋体" w:hAnsi="宋体" w:cs="宋体"/>
                <w:kern w:val="0"/>
                <w:sz w:val="24"/>
                <w:szCs w:val="24"/>
              </w:rPr>
              <w:t>资质内容</w:t>
            </w:r>
          </w:p>
        </w:tc>
        <w:tc>
          <w:tcPr>
            <w:tcW w:w="2220" w:type="dxa"/>
            <w:tcBorders>
              <w:top w:val="single" w:color="auto" w:sz="4" w:space="0"/>
              <w:left w:val="single" w:color="auto" w:sz="4" w:space="0"/>
              <w:bottom w:val="single" w:color="auto" w:sz="4" w:space="0"/>
              <w:right w:val="single" w:color="auto" w:sz="4" w:space="0"/>
            </w:tcBorders>
            <w:vAlign w:val="center"/>
          </w:tcPr>
          <w:p w14:paraId="15606058">
            <w:pPr>
              <w:widowControl/>
              <w:spacing w:line="360" w:lineRule="exact"/>
              <w:jc w:val="center"/>
              <w:rPr>
                <w:rFonts w:ascii="宋体" w:hAnsi="宋体" w:cs="宋体"/>
                <w:kern w:val="0"/>
                <w:sz w:val="24"/>
                <w:szCs w:val="24"/>
              </w:rPr>
            </w:pPr>
            <w:r>
              <w:rPr>
                <w:rFonts w:hint="eastAsia" w:ascii="宋体" w:hAnsi="宋体" w:cs="宋体"/>
                <w:kern w:val="0"/>
                <w:sz w:val="24"/>
                <w:szCs w:val="24"/>
              </w:rPr>
              <w:t>提交形式</w:t>
            </w:r>
          </w:p>
        </w:tc>
        <w:tc>
          <w:tcPr>
            <w:tcW w:w="1046" w:type="dxa"/>
            <w:tcBorders>
              <w:top w:val="single" w:color="auto" w:sz="4" w:space="0"/>
              <w:left w:val="single" w:color="auto" w:sz="4" w:space="0"/>
              <w:bottom w:val="single" w:color="auto" w:sz="4" w:space="0"/>
              <w:right w:val="single" w:color="auto" w:sz="4" w:space="0"/>
            </w:tcBorders>
          </w:tcPr>
          <w:p w14:paraId="4878F76C">
            <w:pPr>
              <w:widowControl/>
              <w:spacing w:line="360" w:lineRule="exact"/>
              <w:jc w:val="center"/>
              <w:rPr>
                <w:rFonts w:ascii="宋体" w:hAnsi="宋体" w:cs="宋体"/>
                <w:kern w:val="0"/>
                <w:sz w:val="24"/>
                <w:szCs w:val="24"/>
              </w:rPr>
            </w:pPr>
            <w:r>
              <w:rPr>
                <w:rFonts w:hint="eastAsia" w:ascii="宋体" w:hAnsi="宋体" w:cs="宋体"/>
                <w:kern w:val="0"/>
                <w:sz w:val="24"/>
                <w:szCs w:val="24"/>
              </w:rPr>
              <w:t>是否需要提供原件</w:t>
            </w:r>
          </w:p>
        </w:tc>
      </w:tr>
      <w:tr w14:paraId="1AE4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50" w:type="dxa"/>
            <w:vMerge w:val="restart"/>
            <w:tcBorders>
              <w:top w:val="single" w:color="auto" w:sz="4" w:space="0"/>
              <w:left w:val="single" w:color="auto" w:sz="4" w:space="0"/>
              <w:bottom w:val="single" w:color="auto" w:sz="4" w:space="0"/>
              <w:right w:val="single" w:color="auto" w:sz="4" w:space="0"/>
            </w:tcBorders>
            <w:vAlign w:val="center"/>
          </w:tcPr>
          <w:p w14:paraId="7DA05869">
            <w:pPr>
              <w:spacing w:line="360" w:lineRule="exact"/>
              <w:jc w:val="center"/>
              <w:rPr>
                <w:rFonts w:ascii="宋体" w:hAnsi="宋体" w:cs="宋体"/>
                <w:kern w:val="0"/>
                <w:sz w:val="24"/>
                <w:szCs w:val="24"/>
              </w:rPr>
            </w:pPr>
            <w:r>
              <w:rPr>
                <w:rFonts w:hint="eastAsia" w:ascii="宋体" w:hAnsi="宋体" w:cs="宋体"/>
                <w:kern w:val="0"/>
                <w:sz w:val="24"/>
                <w:szCs w:val="24"/>
              </w:rPr>
              <w:t xml:space="preserve">1 </w:t>
            </w:r>
          </w:p>
          <w:p w14:paraId="1E2CC088">
            <w:pPr>
              <w:spacing w:line="360" w:lineRule="exact"/>
              <w:jc w:val="center"/>
              <w:rPr>
                <w:rFonts w:ascii="宋体" w:hAnsi="宋体" w:cs="宋体"/>
                <w:kern w:val="0"/>
                <w:sz w:val="24"/>
                <w:szCs w:val="24"/>
              </w:rPr>
            </w:pPr>
            <w:r>
              <w:rPr>
                <w:rFonts w:hint="eastAsia" w:ascii="宋体" w:hAnsi="宋体" w:cs="宋体"/>
                <w:kern w:val="0"/>
                <w:sz w:val="24"/>
                <w:szCs w:val="24"/>
              </w:rPr>
              <w:t>（供应商可任选其中1项提供材料，2选1）。</w:t>
            </w:r>
          </w:p>
        </w:tc>
        <w:tc>
          <w:tcPr>
            <w:tcW w:w="709" w:type="dxa"/>
            <w:vMerge w:val="restart"/>
            <w:tcBorders>
              <w:top w:val="single" w:color="auto" w:sz="4" w:space="0"/>
              <w:left w:val="single" w:color="auto" w:sz="4" w:space="0"/>
              <w:bottom w:val="single" w:color="auto" w:sz="4" w:space="0"/>
              <w:right w:val="single" w:color="auto" w:sz="4" w:space="0"/>
            </w:tcBorders>
            <w:vAlign w:val="center"/>
          </w:tcPr>
          <w:p w14:paraId="6E8C32CA">
            <w:pPr>
              <w:widowControl/>
              <w:spacing w:line="360" w:lineRule="exact"/>
              <w:jc w:val="center"/>
              <w:rPr>
                <w:rFonts w:ascii="宋体" w:hAnsi="宋体" w:cs="宋体"/>
                <w:kern w:val="0"/>
                <w:sz w:val="24"/>
                <w:szCs w:val="24"/>
              </w:rPr>
            </w:pPr>
            <w:r>
              <w:rPr>
                <w:rFonts w:hint="eastAsia" w:ascii="宋体" w:hAnsi="宋体" w:cs="宋体"/>
                <w:kern w:val="0"/>
                <w:sz w:val="24"/>
                <w:szCs w:val="24"/>
              </w:rPr>
              <w:t>（1）</w:t>
            </w:r>
          </w:p>
        </w:tc>
        <w:tc>
          <w:tcPr>
            <w:tcW w:w="4247" w:type="dxa"/>
            <w:tcBorders>
              <w:top w:val="single" w:color="auto" w:sz="4" w:space="0"/>
              <w:left w:val="single" w:color="auto" w:sz="4" w:space="0"/>
              <w:bottom w:val="single" w:color="auto" w:sz="4" w:space="0"/>
              <w:right w:val="single" w:color="auto" w:sz="4" w:space="0"/>
            </w:tcBorders>
            <w:vAlign w:val="center"/>
          </w:tcPr>
          <w:p w14:paraId="18427824">
            <w:pPr>
              <w:spacing w:line="360" w:lineRule="exact"/>
              <w:jc w:val="center"/>
              <w:rPr>
                <w:rFonts w:ascii="宋体" w:hAnsi="宋体" w:cs="宋体"/>
                <w:color w:val="auto"/>
                <w:kern w:val="0"/>
                <w:sz w:val="24"/>
                <w:szCs w:val="24"/>
              </w:rPr>
            </w:pPr>
            <w:r>
              <w:rPr>
                <w:rFonts w:hint="eastAsia" w:ascii="宋体" w:hAnsi="宋体" w:cs="宋体"/>
                <w:color w:val="auto"/>
                <w:kern w:val="0"/>
                <w:sz w:val="24"/>
                <w:szCs w:val="24"/>
              </w:rPr>
              <w:t>法定代表人资格证明（格式按照示范格式一要求）</w:t>
            </w:r>
          </w:p>
        </w:tc>
        <w:tc>
          <w:tcPr>
            <w:tcW w:w="2220" w:type="dxa"/>
            <w:tcBorders>
              <w:top w:val="single" w:color="auto" w:sz="4" w:space="0"/>
              <w:left w:val="single" w:color="auto" w:sz="4" w:space="0"/>
              <w:bottom w:val="single" w:color="auto" w:sz="4" w:space="0"/>
              <w:right w:val="single" w:color="auto" w:sz="4" w:space="0"/>
            </w:tcBorders>
            <w:vAlign w:val="center"/>
          </w:tcPr>
          <w:p w14:paraId="6ACE118B">
            <w:pPr>
              <w:widowControl/>
              <w:spacing w:line="360" w:lineRule="exact"/>
              <w:jc w:val="center"/>
              <w:rPr>
                <w:rFonts w:ascii="宋体" w:hAnsi="宋体" w:cs="宋体"/>
                <w:color w:val="auto"/>
                <w:kern w:val="0"/>
                <w:sz w:val="24"/>
                <w:szCs w:val="24"/>
              </w:rPr>
            </w:pPr>
            <w:r>
              <w:rPr>
                <w:rFonts w:hint="eastAsia" w:ascii="宋体" w:hAnsi="宋体" w:cs="宋体"/>
                <w:b/>
                <w:bCs/>
                <w:color w:val="auto"/>
                <w:sz w:val="24"/>
                <w:szCs w:val="24"/>
              </w:rPr>
              <w:t>原件</w:t>
            </w:r>
            <w:r>
              <w:rPr>
                <w:rFonts w:hint="eastAsia" w:ascii="宋体" w:hAnsi="宋体" w:cs="宋体"/>
                <w:color w:val="auto"/>
                <w:sz w:val="24"/>
                <w:szCs w:val="24"/>
              </w:rPr>
              <w:t>复印件加盖公章装订投标文件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4ACA120D">
            <w:pPr>
              <w:widowControl/>
              <w:spacing w:line="360" w:lineRule="exact"/>
              <w:jc w:val="center"/>
              <w:rPr>
                <w:rFonts w:hint="eastAsia" w:ascii="宋体" w:hAnsi="宋体" w:eastAsia="宋体" w:cs="宋体"/>
                <w:b/>
                <w:bCs/>
                <w:color w:val="auto"/>
                <w:kern w:val="0"/>
                <w:sz w:val="24"/>
                <w:szCs w:val="24"/>
                <w:lang w:eastAsia="zh-CN"/>
              </w:rPr>
            </w:pPr>
            <w:r>
              <w:rPr>
                <w:rFonts w:hint="eastAsia" w:ascii="宋体" w:hAnsi="宋体" w:cs="宋体"/>
                <w:color w:val="auto"/>
                <w:kern w:val="0"/>
                <w:sz w:val="24"/>
                <w:szCs w:val="24"/>
                <w:lang w:eastAsia="zh-CN"/>
              </w:rPr>
              <w:t>是</w:t>
            </w:r>
          </w:p>
        </w:tc>
      </w:tr>
      <w:tr w14:paraId="6679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50" w:type="dxa"/>
            <w:vMerge w:val="continue"/>
            <w:tcBorders>
              <w:top w:val="single" w:color="auto" w:sz="4" w:space="0"/>
              <w:left w:val="single" w:color="auto" w:sz="4" w:space="0"/>
              <w:bottom w:val="single" w:color="auto" w:sz="4" w:space="0"/>
              <w:right w:val="single" w:color="auto" w:sz="4" w:space="0"/>
            </w:tcBorders>
            <w:vAlign w:val="center"/>
          </w:tcPr>
          <w:p w14:paraId="6E9036D7">
            <w:pPr>
              <w:widowControl/>
              <w:jc w:val="left"/>
              <w:rPr>
                <w:rFonts w:ascii="宋体" w:hAnsi="宋体" w:cs="宋体"/>
                <w:kern w:val="0"/>
                <w:sz w:val="24"/>
                <w:szCs w:val="24"/>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14:paraId="110F74FA">
            <w:pPr>
              <w:widowControl/>
              <w:jc w:val="left"/>
              <w:rPr>
                <w:rFonts w:ascii="宋体" w:hAnsi="宋体" w:cs="宋体"/>
                <w:kern w:val="0"/>
                <w:sz w:val="24"/>
                <w:szCs w:val="24"/>
              </w:rPr>
            </w:pPr>
          </w:p>
        </w:tc>
        <w:tc>
          <w:tcPr>
            <w:tcW w:w="4247" w:type="dxa"/>
            <w:tcBorders>
              <w:top w:val="single" w:color="auto" w:sz="4" w:space="0"/>
              <w:left w:val="single" w:color="auto" w:sz="4" w:space="0"/>
              <w:bottom w:val="single" w:color="auto" w:sz="4" w:space="0"/>
              <w:right w:val="single" w:color="auto" w:sz="4" w:space="0"/>
            </w:tcBorders>
            <w:vAlign w:val="center"/>
          </w:tcPr>
          <w:p w14:paraId="5960E5A9">
            <w:pPr>
              <w:spacing w:line="360" w:lineRule="exact"/>
              <w:jc w:val="center"/>
              <w:rPr>
                <w:rFonts w:ascii="宋体" w:hAnsi="宋体" w:cs="宋体"/>
                <w:color w:val="auto"/>
                <w:kern w:val="0"/>
                <w:sz w:val="24"/>
                <w:szCs w:val="24"/>
              </w:rPr>
            </w:pPr>
            <w:r>
              <w:rPr>
                <w:rFonts w:hint="eastAsia" w:ascii="宋体" w:hAnsi="宋体" w:cs="宋体"/>
                <w:color w:val="auto"/>
                <w:kern w:val="0"/>
                <w:sz w:val="24"/>
                <w:szCs w:val="24"/>
              </w:rPr>
              <w:t>法定代表人身份证</w:t>
            </w:r>
          </w:p>
        </w:tc>
        <w:tc>
          <w:tcPr>
            <w:tcW w:w="2220" w:type="dxa"/>
            <w:tcBorders>
              <w:top w:val="single" w:color="auto" w:sz="4" w:space="0"/>
              <w:left w:val="single" w:color="auto" w:sz="4" w:space="0"/>
              <w:bottom w:val="single" w:color="auto" w:sz="4" w:space="0"/>
              <w:right w:val="single" w:color="auto" w:sz="4" w:space="0"/>
            </w:tcBorders>
            <w:vAlign w:val="center"/>
          </w:tcPr>
          <w:p w14:paraId="4F2678DC">
            <w:pPr>
              <w:spacing w:line="360" w:lineRule="exact"/>
              <w:jc w:val="center"/>
              <w:rPr>
                <w:rFonts w:ascii="宋体" w:hAnsi="宋体" w:cs="宋体"/>
                <w:color w:val="auto"/>
                <w:kern w:val="0"/>
                <w:sz w:val="24"/>
                <w:szCs w:val="24"/>
              </w:rPr>
            </w:pPr>
            <w:r>
              <w:rPr>
                <w:rFonts w:hint="eastAsia" w:ascii="宋体" w:hAnsi="宋体" w:cs="宋体"/>
                <w:color w:val="auto"/>
                <w:sz w:val="24"/>
                <w:szCs w:val="24"/>
              </w:rPr>
              <w:t>复印件加盖公章装订投标文件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3308B653">
            <w:pPr>
              <w:spacing w:line="360" w:lineRule="exact"/>
              <w:jc w:val="center"/>
              <w:rPr>
                <w:rFonts w:ascii="宋体" w:hAnsi="宋体" w:cs="宋体"/>
                <w:b/>
                <w:bCs/>
                <w:color w:val="auto"/>
                <w:kern w:val="0"/>
                <w:sz w:val="24"/>
                <w:szCs w:val="24"/>
              </w:rPr>
            </w:pPr>
            <w:r>
              <w:rPr>
                <w:rFonts w:hint="eastAsia" w:ascii="宋体" w:hAnsi="宋体" w:cs="宋体"/>
                <w:color w:val="auto"/>
                <w:kern w:val="0"/>
                <w:sz w:val="24"/>
                <w:szCs w:val="24"/>
              </w:rPr>
              <w:t>否</w:t>
            </w:r>
          </w:p>
        </w:tc>
      </w:tr>
      <w:tr w14:paraId="23CF4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850" w:type="dxa"/>
            <w:vMerge w:val="continue"/>
            <w:tcBorders>
              <w:top w:val="single" w:color="auto" w:sz="4" w:space="0"/>
              <w:left w:val="single" w:color="auto" w:sz="4" w:space="0"/>
              <w:bottom w:val="single" w:color="auto" w:sz="4" w:space="0"/>
              <w:right w:val="single" w:color="auto" w:sz="4" w:space="0"/>
            </w:tcBorders>
            <w:vAlign w:val="center"/>
          </w:tcPr>
          <w:p w14:paraId="2614F66E">
            <w:pPr>
              <w:widowControl/>
              <w:jc w:val="left"/>
              <w:rPr>
                <w:rFonts w:ascii="宋体" w:hAnsi="宋体" w:cs="宋体"/>
                <w:kern w:val="0"/>
                <w:sz w:val="24"/>
                <w:szCs w:val="24"/>
              </w:rPr>
            </w:pPr>
          </w:p>
        </w:tc>
        <w:tc>
          <w:tcPr>
            <w:tcW w:w="709" w:type="dxa"/>
            <w:vMerge w:val="restart"/>
            <w:tcBorders>
              <w:top w:val="single" w:color="auto" w:sz="4" w:space="0"/>
              <w:left w:val="single" w:color="auto" w:sz="4" w:space="0"/>
              <w:bottom w:val="single" w:color="auto" w:sz="4" w:space="0"/>
              <w:right w:val="single" w:color="auto" w:sz="4" w:space="0"/>
            </w:tcBorders>
            <w:vAlign w:val="center"/>
          </w:tcPr>
          <w:p w14:paraId="57B91DEE">
            <w:pPr>
              <w:widowControl/>
              <w:spacing w:line="360" w:lineRule="exact"/>
              <w:jc w:val="center"/>
              <w:rPr>
                <w:rFonts w:ascii="宋体" w:hAnsi="宋体" w:cs="宋体"/>
                <w:kern w:val="0"/>
                <w:sz w:val="24"/>
                <w:szCs w:val="24"/>
              </w:rPr>
            </w:pPr>
            <w:r>
              <w:rPr>
                <w:rFonts w:hint="eastAsia" w:ascii="宋体" w:hAnsi="宋体" w:cs="宋体"/>
                <w:kern w:val="0"/>
                <w:sz w:val="24"/>
                <w:szCs w:val="24"/>
              </w:rPr>
              <w:t>（2）</w:t>
            </w:r>
          </w:p>
        </w:tc>
        <w:tc>
          <w:tcPr>
            <w:tcW w:w="4247" w:type="dxa"/>
            <w:tcBorders>
              <w:top w:val="single" w:color="auto" w:sz="4" w:space="0"/>
              <w:left w:val="single" w:color="auto" w:sz="4" w:space="0"/>
              <w:bottom w:val="single" w:color="auto" w:sz="4" w:space="0"/>
              <w:right w:val="single" w:color="auto" w:sz="4" w:space="0"/>
            </w:tcBorders>
            <w:vAlign w:val="center"/>
          </w:tcPr>
          <w:p w14:paraId="552A2C22">
            <w:pPr>
              <w:spacing w:line="360" w:lineRule="exact"/>
              <w:jc w:val="center"/>
              <w:rPr>
                <w:rFonts w:ascii="宋体" w:hAnsi="宋体" w:cs="宋体"/>
                <w:color w:val="auto"/>
                <w:kern w:val="0"/>
                <w:sz w:val="24"/>
                <w:szCs w:val="24"/>
              </w:rPr>
            </w:pPr>
            <w:r>
              <w:rPr>
                <w:rFonts w:hint="eastAsia" w:ascii="宋体" w:hAnsi="宋体" w:cs="宋体"/>
                <w:color w:val="auto"/>
                <w:kern w:val="0"/>
                <w:sz w:val="24"/>
                <w:szCs w:val="24"/>
              </w:rPr>
              <w:t>授权委托书（格式按照示范格式二要求）</w:t>
            </w:r>
          </w:p>
        </w:tc>
        <w:tc>
          <w:tcPr>
            <w:tcW w:w="2220" w:type="dxa"/>
            <w:tcBorders>
              <w:top w:val="single" w:color="auto" w:sz="4" w:space="0"/>
              <w:left w:val="single" w:color="auto" w:sz="4" w:space="0"/>
              <w:bottom w:val="single" w:color="auto" w:sz="4" w:space="0"/>
              <w:right w:val="single" w:color="auto" w:sz="4" w:space="0"/>
            </w:tcBorders>
            <w:vAlign w:val="center"/>
          </w:tcPr>
          <w:p w14:paraId="4DA47367">
            <w:pPr>
              <w:widowControl/>
              <w:spacing w:line="360" w:lineRule="exact"/>
              <w:jc w:val="center"/>
              <w:rPr>
                <w:rFonts w:ascii="宋体" w:hAnsi="宋体" w:cs="宋体"/>
                <w:color w:val="auto"/>
                <w:kern w:val="0"/>
                <w:sz w:val="24"/>
                <w:szCs w:val="24"/>
              </w:rPr>
            </w:pPr>
            <w:r>
              <w:rPr>
                <w:rFonts w:hint="eastAsia" w:ascii="宋体" w:hAnsi="宋体" w:cs="宋体"/>
                <w:b/>
                <w:bCs/>
                <w:color w:val="auto"/>
                <w:sz w:val="24"/>
                <w:szCs w:val="24"/>
              </w:rPr>
              <w:t>原件</w:t>
            </w:r>
            <w:r>
              <w:rPr>
                <w:rFonts w:hint="eastAsia" w:ascii="宋体" w:hAnsi="宋体" w:cs="宋体"/>
                <w:color w:val="auto"/>
                <w:sz w:val="24"/>
                <w:szCs w:val="24"/>
              </w:rPr>
              <w:t>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62A429D8">
            <w:pPr>
              <w:widowControl/>
              <w:spacing w:line="360" w:lineRule="exact"/>
              <w:jc w:val="center"/>
              <w:rPr>
                <w:rFonts w:ascii="宋体" w:hAnsi="宋体" w:cs="宋体"/>
                <w:b/>
                <w:bCs/>
                <w:color w:val="auto"/>
                <w:kern w:val="0"/>
                <w:sz w:val="24"/>
                <w:szCs w:val="24"/>
              </w:rPr>
            </w:pPr>
            <w:r>
              <w:rPr>
                <w:rFonts w:hint="eastAsia" w:ascii="宋体" w:hAnsi="宋体" w:cs="宋体"/>
                <w:b/>
                <w:bCs/>
                <w:color w:val="auto"/>
                <w:kern w:val="0"/>
                <w:sz w:val="24"/>
                <w:szCs w:val="24"/>
              </w:rPr>
              <w:t>是</w:t>
            </w:r>
          </w:p>
        </w:tc>
      </w:tr>
      <w:tr w14:paraId="4ABC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850" w:type="dxa"/>
            <w:vMerge w:val="continue"/>
            <w:tcBorders>
              <w:top w:val="single" w:color="auto" w:sz="4" w:space="0"/>
              <w:left w:val="single" w:color="auto" w:sz="4" w:space="0"/>
              <w:bottom w:val="single" w:color="auto" w:sz="4" w:space="0"/>
              <w:right w:val="single" w:color="auto" w:sz="4" w:space="0"/>
            </w:tcBorders>
            <w:vAlign w:val="center"/>
          </w:tcPr>
          <w:p w14:paraId="340A34DF">
            <w:pPr>
              <w:widowControl/>
              <w:jc w:val="left"/>
              <w:rPr>
                <w:rFonts w:ascii="宋体" w:hAnsi="宋体" w:cs="宋体"/>
                <w:kern w:val="0"/>
                <w:sz w:val="24"/>
                <w:szCs w:val="24"/>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14:paraId="1C48F9AB">
            <w:pPr>
              <w:widowControl/>
              <w:jc w:val="left"/>
              <w:rPr>
                <w:rFonts w:ascii="宋体" w:hAnsi="宋体" w:cs="宋体"/>
                <w:kern w:val="0"/>
                <w:sz w:val="24"/>
                <w:szCs w:val="24"/>
              </w:rPr>
            </w:pPr>
          </w:p>
        </w:tc>
        <w:tc>
          <w:tcPr>
            <w:tcW w:w="4247" w:type="dxa"/>
            <w:tcBorders>
              <w:top w:val="single" w:color="auto" w:sz="4" w:space="0"/>
              <w:left w:val="single" w:color="auto" w:sz="4" w:space="0"/>
              <w:bottom w:val="single" w:color="auto" w:sz="4" w:space="0"/>
              <w:right w:val="single" w:color="auto" w:sz="4" w:space="0"/>
            </w:tcBorders>
            <w:vAlign w:val="center"/>
          </w:tcPr>
          <w:p w14:paraId="35F6AE05">
            <w:pPr>
              <w:spacing w:line="360" w:lineRule="exact"/>
              <w:jc w:val="center"/>
              <w:rPr>
                <w:rFonts w:ascii="宋体" w:hAnsi="宋体" w:cs="宋体"/>
                <w:color w:val="auto"/>
                <w:kern w:val="0"/>
                <w:sz w:val="24"/>
                <w:szCs w:val="24"/>
              </w:rPr>
            </w:pPr>
            <w:r>
              <w:rPr>
                <w:rFonts w:hint="eastAsia" w:ascii="宋体" w:hAnsi="宋体" w:cs="宋体"/>
                <w:color w:val="auto"/>
                <w:kern w:val="0"/>
                <w:sz w:val="24"/>
                <w:szCs w:val="24"/>
              </w:rPr>
              <w:t>受托人身份证</w:t>
            </w:r>
          </w:p>
        </w:tc>
        <w:tc>
          <w:tcPr>
            <w:tcW w:w="2220" w:type="dxa"/>
            <w:tcBorders>
              <w:top w:val="single" w:color="auto" w:sz="4" w:space="0"/>
              <w:left w:val="single" w:color="auto" w:sz="4" w:space="0"/>
              <w:bottom w:val="single" w:color="auto" w:sz="4" w:space="0"/>
              <w:right w:val="single" w:color="auto" w:sz="4" w:space="0"/>
            </w:tcBorders>
            <w:vAlign w:val="center"/>
          </w:tcPr>
          <w:p w14:paraId="07434F6F">
            <w:pPr>
              <w:spacing w:line="360" w:lineRule="exact"/>
              <w:jc w:val="center"/>
              <w:rPr>
                <w:rFonts w:ascii="宋体" w:hAnsi="宋体" w:cs="宋体"/>
                <w:color w:val="auto"/>
                <w:kern w:val="0"/>
                <w:sz w:val="24"/>
                <w:szCs w:val="24"/>
              </w:rPr>
            </w:pPr>
            <w:r>
              <w:rPr>
                <w:rFonts w:hint="eastAsia" w:ascii="宋体" w:hAnsi="宋体" w:cs="宋体"/>
                <w:color w:val="auto"/>
                <w:sz w:val="24"/>
                <w:szCs w:val="24"/>
              </w:rPr>
              <w:t>复印件加盖公章装订投标文件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797E03C4">
            <w:pPr>
              <w:spacing w:line="360" w:lineRule="exact"/>
              <w:jc w:val="center"/>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否</w:t>
            </w:r>
          </w:p>
        </w:tc>
      </w:tr>
      <w:tr w14:paraId="6C01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850" w:type="dxa"/>
            <w:vMerge w:val="continue"/>
            <w:tcBorders>
              <w:top w:val="single" w:color="auto" w:sz="4" w:space="0"/>
              <w:left w:val="single" w:color="auto" w:sz="4" w:space="0"/>
              <w:bottom w:val="single" w:color="auto" w:sz="4" w:space="0"/>
              <w:right w:val="single" w:color="auto" w:sz="4" w:space="0"/>
            </w:tcBorders>
            <w:vAlign w:val="center"/>
          </w:tcPr>
          <w:p w14:paraId="5559642E">
            <w:pPr>
              <w:widowControl/>
              <w:jc w:val="left"/>
              <w:rPr>
                <w:rFonts w:ascii="宋体" w:hAnsi="宋体" w:cs="宋体"/>
                <w:kern w:val="0"/>
                <w:sz w:val="24"/>
                <w:szCs w:val="24"/>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14:paraId="3D31EF9B">
            <w:pPr>
              <w:widowControl/>
              <w:jc w:val="left"/>
              <w:rPr>
                <w:rFonts w:ascii="宋体" w:hAnsi="宋体" w:cs="宋体"/>
                <w:kern w:val="0"/>
                <w:sz w:val="24"/>
                <w:szCs w:val="24"/>
              </w:rPr>
            </w:pPr>
          </w:p>
        </w:tc>
        <w:tc>
          <w:tcPr>
            <w:tcW w:w="4247" w:type="dxa"/>
            <w:tcBorders>
              <w:top w:val="single" w:color="auto" w:sz="4" w:space="0"/>
              <w:left w:val="single" w:color="auto" w:sz="4" w:space="0"/>
              <w:bottom w:val="single" w:color="auto" w:sz="4" w:space="0"/>
              <w:right w:val="single" w:color="auto" w:sz="4" w:space="0"/>
            </w:tcBorders>
            <w:vAlign w:val="center"/>
          </w:tcPr>
          <w:p w14:paraId="261FBE1F">
            <w:pPr>
              <w:spacing w:line="360" w:lineRule="exact"/>
              <w:jc w:val="center"/>
              <w:rPr>
                <w:rFonts w:ascii="宋体" w:hAnsi="宋体" w:cs="宋体"/>
                <w:kern w:val="0"/>
                <w:sz w:val="24"/>
                <w:szCs w:val="24"/>
              </w:rPr>
            </w:pPr>
            <w:r>
              <w:rPr>
                <w:rFonts w:hint="eastAsia" w:ascii="宋体" w:hAnsi="宋体" w:cs="宋体"/>
                <w:kern w:val="0"/>
                <w:sz w:val="24"/>
                <w:szCs w:val="24"/>
              </w:rPr>
              <w:t>提供社保部门出具的供应商为受托人缴纳的</w:t>
            </w:r>
            <w:r>
              <w:rPr>
                <w:rFonts w:hint="eastAsia" w:ascii="宋体" w:hAnsi="宋体" w:cs="宋体"/>
                <w:kern w:val="0"/>
                <w:sz w:val="24"/>
                <w:szCs w:val="24"/>
                <w:lang w:eastAsia="zh-CN"/>
              </w:rPr>
              <w:t>2026</w:t>
            </w:r>
            <w:r>
              <w:rPr>
                <w:rFonts w:hint="eastAsia" w:ascii="宋体" w:hAnsi="宋体" w:cs="宋体"/>
                <w:kern w:val="0"/>
                <w:sz w:val="24"/>
                <w:szCs w:val="24"/>
              </w:rPr>
              <w:t>年社保缴纳证明</w:t>
            </w:r>
          </w:p>
        </w:tc>
        <w:tc>
          <w:tcPr>
            <w:tcW w:w="2220" w:type="dxa"/>
            <w:tcBorders>
              <w:top w:val="single" w:color="auto" w:sz="4" w:space="0"/>
              <w:left w:val="single" w:color="auto" w:sz="4" w:space="0"/>
              <w:bottom w:val="single" w:color="auto" w:sz="4" w:space="0"/>
              <w:right w:val="single" w:color="auto" w:sz="4" w:space="0"/>
            </w:tcBorders>
            <w:vAlign w:val="center"/>
          </w:tcPr>
          <w:p w14:paraId="193AFB8F">
            <w:pPr>
              <w:widowControl/>
              <w:spacing w:line="360" w:lineRule="exact"/>
              <w:jc w:val="center"/>
              <w:rPr>
                <w:rFonts w:ascii="宋体" w:hAnsi="宋体" w:cs="宋体"/>
                <w:kern w:val="0"/>
                <w:sz w:val="24"/>
                <w:szCs w:val="24"/>
              </w:rPr>
            </w:pPr>
            <w:r>
              <w:rPr>
                <w:rFonts w:hint="eastAsia" w:ascii="宋体" w:hAnsi="宋体" w:cs="宋体"/>
                <w:sz w:val="24"/>
                <w:szCs w:val="24"/>
              </w:rPr>
              <w:t>复印件加盖公章或网络截图打印盖单位公章装订投标文件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5C296781">
            <w:pPr>
              <w:widowControl/>
              <w:spacing w:line="360" w:lineRule="exact"/>
              <w:jc w:val="center"/>
              <w:rPr>
                <w:rFonts w:ascii="宋体" w:hAnsi="宋体" w:cs="宋体"/>
                <w:kern w:val="0"/>
                <w:sz w:val="24"/>
                <w:szCs w:val="24"/>
              </w:rPr>
            </w:pPr>
            <w:r>
              <w:rPr>
                <w:rFonts w:hint="eastAsia" w:ascii="宋体" w:hAnsi="宋体" w:cs="宋体"/>
                <w:kern w:val="0"/>
                <w:sz w:val="24"/>
                <w:szCs w:val="24"/>
              </w:rPr>
              <w:t>否</w:t>
            </w:r>
          </w:p>
        </w:tc>
      </w:tr>
      <w:tr w14:paraId="7904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850" w:type="dxa"/>
            <w:tcBorders>
              <w:top w:val="single" w:color="auto" w:sz="4" w:space="0"/>
              <w:left w:val="single" w:color="auto" w:sz="4" w:space="0"/>
              <w:bottom w:val="single" w:color="auto" w:sz="4" w:space="0"/>
              <w:right w:val="single" w:color="auto" w:sz="4" w:space="0"/>
            </w:tcBorders>
            <w:vAlign w:val="center"/>
          </w:tcPr>
          <w:p w14:paraId="6FB05FE3">
            <w:pPr>
              <w:widowControl/>
              <w:spacing w:line="360" w:lineRule="exact"/>
              <w:jc w:val="center"/>
              <w:rPr>
                <w:rFonts w:ascii="宋体" w:hAnsi="宋体" w:cs="宋体"/>
                <w:kern w:val="0"/>
                <w:sz w:val="24"/>
                <w:szCs w:val="24"/>
              </w:rPr>
            </w:pPr>
            <w:r>
              <w:rPr>
                <w:rFonts w:hint="eastAsia" w:ascii="宋体" w:hAnsi="宋体" w:cs="宋体"/>
                <w:kern w:val="0"/>
                <w:sz w:val="24"/>
                <w:szCs w:val="24"/>
              </w:rPr>
              <w:t>2</w:t>
            </w:r>
          </w:p>
        </w:tc>
        <w:tc>
          <w:tcPr>
            <w:tcW w:w="4956" w:type="dxa"/>
            <w:gridSpan w:val="2"/>
            <w:tcBorders>
              <w:top w:val="single" w:color="auto" w:sz="4" w:space="0"/>
              <w:left w:val="single" w:color="auto" w:sz="4" w:space="0"/>
              <w:bottom w:val="single" w:color="auto" w:sz="4" w:space="0"/>
              <w:right w:val="single" w:color="auto" w:sz="4" w:space="0"/>
            </w:tcBorders>
            <w:vAlign w:val="center"/>
          </w:tcPr>
          <w:p w14:paraId="026D5C3B">
            <w:pPr>
              <w:widowControl/>
              <w:spacing w:line="360" w:lineRule="exact"/>
              <w:jc w:val="center"/>
              <w:rPr>
                <w:rFonts w:ascii="宋体" w:hAnsi="宋体" w:cs="宋体"/>
                <w:kern w:val="0"/>
                <w:sz w:val="24"/>
                <w:szCs w:val="24"/>
              </w:rPr>
            </w:pPr>
            <w:r>
              <w:rPr>
                <w:rFonts w:hint="eastAsia" w:ascii="宋体" w:hAnsi="宋体" w:cs="宋体"/>
                <w:kern w:val="0"/>
                <w:sz w:val="24"/>
                <w:szCs w:val="24"/>
              </w:rPr>
              <w:t>营业执照</w:t>
            </w:r>
          </w:p>
        </w:tc>
        <w:tc>
          <w:tcPr>
            <w:tcW w:w="2220" w:type="dxa"/>
            <w:tcBorders>
              <w:top w:val="single" w:color="auto" w:sz="4" w:space="0"/>
              <w:left w:val="single" w:color="auto" w:sz="4" w:space="0"/>
              <w:bottom w:val="single" w:color="auto" w:sz="4" w:space="0"/>
              <w:right w:val="single" w:color="auto" w:sz="4" w:space="0"/>
            </w:tcBorders>
          </w:tcPr>
          <w:p w14:paraId="060CBEA7">
            <w:pPr>
              <w:spacing w:line="360" w:lineRule="exact"/>
              <w:rPr>
                <w:rFonts w:ascii="宋体" w:hAnsi="宋体" w:cs="宋体"/>
                <w:sz w:val="24"/>
                <w:szCs w:val="24"/>
              </w:rPr>
            </w:pPr>
            <w:r>
              <w:rPr>
                <w:rFonts w:hint="eastAsia" w:ascii="宋体" w:hAnsi="宋体" w:cs="宋体"/>
                <w:sz w:val="24"/>
                <w:szCs w:val="24"/>
              </w:rPr>
              <w:t>复印件加盖公章装订投标文件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74D0CF61">
            <w:pPr>
              <w:spacing w:line="360" w:lineRule="exact"/>
              <w:jc w:val="center"/>
              <w:rPr>
                <w:rFonts w:ascii="宋体" w:hAnsi="宋体" w:cs="宋体"/>
                <w:kern w:val="0"/>
                <w:sz w:val="24"/>
                <w:szCs w:val="24"/>
              </w:rPr>
            </w:pPr>
            <w:r>
              <w:rPr>
                <w:rFonts w:hint="eastAsia" w:ascii="宋体" w:hAnsi="宋体" w:cs="宋体"/>
                <w:kern w:val="0"/>
                <w:sz w:val="24"/>
                <w:szCs w:val="24"/>
              </w:rPr>
              <w:t>否</w:t>
            </w:r>
          </w:p>
        </w:tc>
      </w:tr>
      <w:tr w14:paraId="5BF0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50" w:type="dxa"/>
            <w:tcBorders>
              <w:top w:val="single" w:color="auto" w:sz="4" w:space="0"/>
              <w:left w:val="single" w:color="auto" w:sz="4" w:space="0"/>
              <w:bottom w:val="single" w:color="auto" w:sz="4" w:space="0"/>
              <w:right w:val="single" w:color="auto" w:sz="4" w:space="0"/>
            </w:tcBorders>
            <w:vAlign w:val="center"/>
          </w:tcPr>
          <w:p w14:paraId="4E5C18CF">
            <w:pPr>
              <w:widowControl/>
              <w:spacing w:line="360" w:lineRule="exact"/>
              <w:jc w:val="center"/>
              <w:rPr>
                <w:rFonts w:ascii="宋体" w:hAnsi="宋体" w:cs="宋体"/>
                <w:kern w:val="0"/>
                <w:sz w:val="24"/>
                <w:szCs w:val="24"/>
              </w:rPr>
            </w:pPr>
            <w:r>
              <w:rPr>
                <w:rFonts w:hint="eastAsia" w:ascii="宋体" w:hAnsi="宋体" w:cs="宋体"/>
                <w:kern w:val="0"/>
                <w:sz w:val="24"/>
                <w:szCs w:val="24"/>
              </w:rPr>
              <w:t>3</w:t>
            </w:r>
          </w:p>
        </w:tc>
        <w:tc>
          <w:tcPr>
            <w:tcW w:w="4956" w:type="dxa"/>
            <w:gridSpan w:val="2"/>
            <w:tcBorders>
              <w:top w:val="single" w:color="auto" w:sz="4" w:space="0"/>
              <w:left w:val="single" w:color="auto" w:sz="4" w:space="0"/>
              <w:bottom w:val="single" w:color="auto" w:sz="4" w:space="0"/>
              <w:right w:val="single" w:color="auto" w:sz="4" w:space="0"/>
            </w:tcBorders>
            <w:vAlign w:val="center"/>
          </w:tcPr>
          <w:p w14:paraId="78C5595D">
            <w:pPr>
              <w:pStyle w:val="17"/>
              <w:adjustRightInd w:val="0"/>
              <w:spacing w:after="0" w:line="360" w:lineRule="auto"/>
              <w:rPr>
                <w:rFonts w:ascii="宋体" w:hAnsi="宋体" w:cs="宋体"/>
                <w:kern w:val="0"/>
                <w:sz w:val="24"/>
                <w:szCs w:val="24"/>
              </w:rPr>
            </w:pPr>
            <w:r>
              <w:rPr>
                <w:rFonts w:hint="eastAsia" w:ascii="宋体" w:hAnsi="宋体" w:eastAsia="宋体" w:cs="宋体"/>
                <w:color w:val="333333"/>
                <w:kern w:val="0"/>
                <w:sz w:val="24"/>
                <w:szCs w:val="24"/>
                <w:lang w:val="en-US" w:eastAsia="zh-CN" w:bidi="ar-SA"/>
              </w:rPr>
              <w:t>供应商信用承诺书（格式按照示范格式三要求）</w:t>
            </w:r>
          </w:p>
        </w:tc>
        <w:tc>
          <w:tcPr>
            <w:tcW w:w="2220" w:type="dxa"/>
            <w:tcBorders>
              <w:top w:val="single" w:color="auto" w:sz="4" w:space="0"/>
              <w:left w:val="single" w:color="auto" w:sz="4" w:space="0"/>
              <w:bottom w:val="single" w:color="auto" w:sz="4" w:space="0"/>
              <w:right w:val="single" w:color="auto" w:sz="4" w:space="0"/>
            </w:tcBorders>
          </w:tcPr>
          <w:p w14:paraId="3191267F">
            <w:pPr>
              <w:spacing w:line="360" w:lineRule="exact"/>
              <w:rPr>
                <w:rFonts w:ascii="宋体" w:hAnsi="宋体" w:cs="宋体"/>
                <w:color w:val="auto"/>
                <w:kern w:val="0"/>
                <w:sz w:val="24"/>
                <w:szCs w:val="24"/>
              </w:rPr>
            </w:pPr>
            <w:r>
              <w:rPr>
                <w:rFonts w:hint="eastAsia" w:ascii="宋体" w:hAnsi="宋体" w:cs="宋体"/>
                <w:bCs/>
                <w:color w:val="auto"/>
                <w:sz w:val="24"/>
                <w:szCs w:val="24"/>
                <w:lang w:val="en-US" w:eastAsia="zh-CN"/>
              </w:rPr>
              <w:t>原件</w:t>
            </w:r>
            <w:r>
              <w:rPr>
                <w:rFonts w:hint="eastAsia" w:ascii="宋体" w:hAnsi="宋体" w:cs="宋体"/>
                <w:color w:val="auto"/>
                <w:sz w:val="24"/>
                <w:szCs w:val="24"/>
              </w:rPr>
              <w:t>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7B3641BF">
            <w:pPr>
              <w:spacing w:line="360" w:lineRule="exact"/>
              <w:jc w:val="center"/>
              <w:rPr>
                <w:rFonts w:hint="eastAsia" w:ascii="宋体" w:hAnsi="宋体" w:eastAsia="宋体" w:cs="宋体"/>
                <w:b/>
                <w:bCs/>
                <w:kern w:val="0"/>
                <w:sz w:val="24"/>
                <w:szCs w:val="24"/>
                <w:lang w:eastAsia="zh-CN"/>
              </w:rPr>
            </w:pPr>
            <w:r>
              <w:rPr>
                <w:rFonts w:hint="eastAsia" w:ascii="宋体" w:hAnsi="宋体" w:cs="宋体"/>
                <w:kern w:val="0"/>
                <w:sz w:val="24"/>
                <w:szCs w:val="24"/>
                <w:lang w:val="en-US" w:eastAsia="zh-CN"/>
              </w:rPr>
              <w:t>是</w:t>
            </w:r>
          </w:p>
        </w:tc>
      </w:tr>
      <w:tr w14:paraId="31CAF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50" w:type="dxa"/>
            <w:tcBorders>
              <w:top w:val="single" w:color="auto" w:sz="4" w:space="0"/>
              <w:left w:val="single" w:color="auto" w:sz="4" w:space="0"/>
              <w:bottom w:val="single" w:color="auto" w:sz="4" w:space="0"/>
              <w:right w:val="single" w:color="auto" w:sz="4" w:space="0"/>
            </w:tcBorders>
            <w:vAlign w:val="center"/>
          </w:tcPr>
          <w:p w14:paraId="58965E13">
            <w:pPr>
              <w:widowControl/>
              <w:spacing w:line="360" w:lineRule="exact"/>
              <w:jc w:val="center"/>
              <w:rPr>
                <w:rFonts w:ascii="宋体" w:hAnsi="宋体" w:cs="宋体"/>
                <w:kern w:val="0"/>
                <w:sz w:val="24"/>
                <w:szCs w:val="24"/>
              </w:rPr>
            </w:pPr>
            <w:r>
              <w:rPr>
                <w:rFonts w:hint="eastAsia" w:ascii="宋体" w:hAnsi="宋体" w:cs="宋体"/>
                <w:kern w:val="0"/>
                <w:sz w:val="24"/>
                <w:szCs w:val="24"/>
              </w:rPr>
              <w:t>4</w:t>
            </w:r>
          </w:p>
        </w:tc>
        <w:tc>
          <w:tcPr>
            <w:tcW w:w="4956" w:type="dxa"/>
            <w:gridSpan w:val="2"/>
            <w:tcBorders>
              <w:top w:val="single" w:color="auto" w:sz="4" w:space="0"/>
              <w:left w:val="single" w:color="auto" w:sz="4" w:space="0"/>
              <w:bottom w:val="single" w:color="auto" w:sz="4" w:space="0"/>
              <w:right w:val="single" w:color="auto" w:sz="4" w:space="0"/>
            </w:tcBorders>
            <w:vAlign w:val="center"/>
          </w:tcPr>
          <w:p w14:paraId="707CA31F">
            <w:pPr>
              <w:widowControl/>
              <w:jc w:val="center"/>
              <w:rPr>
                <w:rFonts w:ascii="宋体" w:hAnsi="宋体" w:cs="宋体"/>
                <w:kern w:val="0"/>
                <w:sz w:val="24"/>
                <w:szCs w:val="24"/>
              </w:rPr>
            </w:pPr>
            <w:r>
              <w:rPr>
                <w:rFonts w:hint="eastAsia" w:ascii="宋体" w:hAnsi="宋体" w:eastAsia="宋体" w:cs="宋体"/>
                <w:color w:val="333333"/>
                <w:kern w:val="0"/>
                <w:sz w:val="24"/>
                <w:szCs w:val="24"/>
                <w:lang w:val="en-US" w:eastAsia="zh-CN" w:bidi="ar-SA"/>
              </w:rPr>
              <w:t>承诺书（格式按照示范格式四要求）</w:t>
            </w:r>
          </w:p>
        </w:tc>
        <w:tc>
          <w:tcPr>
            <w:tcW w:w="2220" w:type="dxa"/>
            <w:tcBorders>
              <w:top w:val="single" w:color="auto" w:sz="4" w:space="0"/>
              <w:left w:val="single" w:color="auto" w:sz="4" w:space="0"/>
              <w:bottom w:val="single" w:color="auto" w:sz="4" w:space="0"/>
              <w:right w:val="single" w:color="auto" w:sz="4" w:space="0"/>
            </w:tcBorders>
          </w:tcPr>
          <w:p w14:paraId="67BC2661">
            <w:pPr>
              <w:spacing w:line="360" w:lineRule="exact"/>
              <w:rPr>
                <w:rFonts w:ascii="宋体" w:hAnsi="宋体" w:cs="宋体"/>
                <w:b/>
                <w:bCs/>
                <w:color w:val="auto"/>
                <w:sz w:val="24"/>
                <w:szCs w:val="24"/>
              </w:rPr>
            </w:pPr>
            <w:r>
              <w:rPr>
                <w:rFonts w:hint="eastAsia" w:ascii="宋体" w:hAnsi="宋体" w:cs="宋体"/>
                <w:b/>
                <w:bCs/>
                <w:color w:val="auto"/>
                <w:sz w:val="24"/>
                <w:szCs w:val="24"/>
              </w:rPr>
              <w:t>原件</w:t>
            </w:r>
            <w:r>
              <w:rPr>
                <w:rFonts w:hint="eastAsia" w:ascii="宋体" w:hAnsi="宋体" w:cs="宋体"/>
                <w:color w:val="auto"/>
                <w:sz w:val="24"/>
                <w:szCs w:val="24"/>
              </w:rPr>
              <w:t>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2493F13B">
            <w:pPr>
              <w:spacing w:line="360" w:lineRule="exact"/>
              <w:jc w:val="center"/>
              <w:rPr>
                <w:rFonts w:ascii="宋体" w:hAnsi="宋体" w:cs="宋体"/>
                <w:kern w:val="0"/>
                <w:sz w:val="24"/>
                <w:szCs w:val="24"/>
              </w:rPr>
            </w:pPr>
            <w:r>
              <w:rPr>
                <w:rFonts w:hint="eastAsia" w:ascii="宋体" w:hAnsi="宋体" w:cs="宋体"/>
                <w:kern w:val="0"/>
                <w:sz w:val="24"/>
                <w:szCs w:val="24"/>
              </w:rPr>
              <w:t>是</w:t>
            </w:r>
          </w:p>
        </w:tc>
      </w:tr>
      <w:tr w14:paraId="0A4FE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50" w:type="dxa"/>
            <w:tcBorders>
              <w:top w:val="single" w:color="auto" w:sz="4" w:space="0"/>
              <w:left w:val="single" w:color="auto" w:sz="4" w:space="0"/>
              <w:bottom w:val="single" w:color="auto" w:sz="4" w:space="0"/>
              <w:right w:val="single" w:color="auto" w:sz="4" w:space="0"/>
            </w:tcBorders>
            <w:vAlign w:val="center"/>
          </w:tcPr>
          <w:p w14:paraId="765596E9">
            <w:pPr>
              <w:widowControl/>
              <w:spacing w:line="360" w:lineRule="exact"/>
              <w:jc w:val="center"/>
              <w:rPr>
                <w:rFonts w:ascii="宋体" w:hAnsi="宋体" w:cs="宋体"/>
                <w:kern w:val="0"/>
                <w:sz w:val="24"/>
                <w:szCs w:val="24"/>
              </w:rPr>
            </w:pPr>
            <w:r>
              <w:rPr>
                <w:rFonts w:hint="eastAsia" w:ascii="宋体" w:hAnsi="宋体" w:cs="宋体"/>
                <w:kern w:val="0"/>
                <w:sz w:val="24"/>
                <w:szCs w:val="24"/>
              </w:rPr>
              <w:t>5</w:t>
            </w:r>
          </w:p>
        </w:tc>
        <w:tc>
          <w:tcPr>
            <w:tcW w:w="4956" w:type="dxa"/>
            <w:gridSpan w:val="2"/>
            <w:tcBorders>
              <w:top w:val="single" w:color="auto" w:sz="4" w:space="0"/>
              <w:left w:val="single" w:color="auto" w:sz="4" w:space="0"/>
              <w:bottom w:val="single" w:color="auto" w:sz="4" w:space="0"/>
              <w:right w:val="single" w:color="auto" w:sz="4" w:space="0"/>
            </w:tcBorders>
            <w:vAlign w:val="center"/>
          </w:tcPr>
          <w:p w14:paraId="56AF23EB">
            <w:pPr>
              <w:widowControl/>
              <w:jc w:val="left"/>
              <w:rPr>
                <w:rFonts w:ascii="宋体" w:hAnsi="宋体" w:cs="宋体"/>
                <w:kern w:val="0"/>
                <w:sz w:val="24"/>
                <w:szCs w:val="24"/>
              </w:rPr>
            </w:pPr>
            <w:r>
              <w:rPr>
                <w:rFonts w:hint="eastAsia"/>
                <w:sz w:val="24"/>
                <w:szCs w:val="24"/>
              </w:rPr>
              <w:t>投标人</w:t>
            </w:r>
            <w:r>
              <w:rPr>
                <w:sz w:val="24"/>
                <w:szCs w:val="24"/>
              </w:rPr>
              <w:t>未被“信用中国”网站（</w:t>
            </w:r>
            <w:r>
              <w:rPr>
                <w:sz w:val="24"/>
                <w:szCs w:val="24"/>
              </w:rPr>
              <w:drawing>
                <wp:inline distT="0" distB="0" distL="114300" distR="114300">
                  <wp:extent cx="189865" cy="142240"/>
                  <wp:effectExtent l="0" t="0" r="635" b="10160"/>
                  <wp:docPr id="4" name="图片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W@GJ$ACOF(TYDYECOKVDYB"/>
                          <pic:cNvPicPr>
                            <a:picLocks noChangeAspect="1"/>
                          </pic:cNvPicPr>
                        </pic:nvPicPr>
                        <pic:blipFill>
                          <a:blip r:embed="rId10"/>
                          <a:stretch>
                            <a:fillRect/>
                          </a:stretch>
                        </pic:blipFill>
                        <pic:spPr>
                          <a:xfrm>
                            <a:off x="0" y="0"/>
                            <a:ext cx="189865" cy="142240"/>
                          </a:xfrm>
                          <a:prstGeom prst="rect">
                            <a:avLst/>
                          </a:prstGeom>
                          <a:noFill/>
                          <a:ln>
                            <a:noFill/>
                          </a:ln>
                        </pic:spPr>
                      </pic:pic>
                    </a:graphicData>
                  </a:graphic>
                </wp:inline>
              </w:drawing>
            </w:r>
            <w:r>
              <w:rPr>
                <w:sz w:val="24"/>
                <w:szCs w:val="24"/>
              </w:rPr>
              <w:t>www.creditchina.gov.cn）、“中国政府采购网"(</w:t>
            </w:r>
            <w:r>
              <w:rPr>
                <w:sz w:val="24"/>
                <w:szCs w:val="24"/>
              </w:rPr>
              <w:drawing>
                <wp:inline distT="0" distB="0" distL="114300" distR="114300">
                  <wp:extent cx="189865" cy="142240"/>
                  <wp:effectExtent l="0" t="0" r="635" b="10160"/>
                  <wp:docPr id="2"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GJ$ACOF(TYDYECOKVDYB"/>
                          <pic:cNvPicPr>
                            <a:picLocks noChangeAspect="1"/>
                          </pic:cNvPicPr>
                        </pic:nvPicPr>
                        <pic:blipFill>
                          <a:blip r:embed="rId10"/>
                          <a:stretch>
                            <a:fillRect/>
                          </a:stretch>
                        </pic:blipFill>
                        <pic:spPr>
                          <a:xfrm>
                            <a:off x="0" y="0"/>
                            <a:ext cx="189865" cy="142240"/>
                          </a:xfrm>
                          <a:prstGeom prst="rect">
                            <a:avLst/>
                          </a:prstGeom>
                          <a:noFill/>
                          <a:ln>
                            <a:noFill/>
                          </a:ln>
                        </pic:spPr>
                      </pic:pic>
                    </a:graphicData>
                  </a:graphic>
                </wp:inline>
              </w:drawing>
            </w:r>
            <w:r>
              <w:rPr>
                <w:sz w:val="24"/>
                <w:szCs w:val="24"/>
              </w:rPr>
              <w:t>www.ccgp.gov.cn)列入失信被执行人、重大税收违法案件当事人名单、政府采购严重违法失信行为记录名单。</w:t>
            </w:r>
          </w:p>
        </w:tc>
        <w:tc>
          <w:tcPr>
            <w:tcW w:w="2220" w:type="dxa"/>
            <w:tcBorders>
              <w:top w:val="single" w:color="auto" w:sz="4" w:space="0"/>
              <w:left w:val="single" w:color="auto" w:sz="4" w:space="0"/>
              <w:bottom w:val="single" w:color="auto" w:sz="4" w:space="0"/>
              <w:right w:val="single" w:color="auto" w:sz="4" w:space="0"/>
            </w:tcBorders>
          </w:tcPr>
          <w:p w14:paraId="20E026BB">
            <w:pPr>
              <w:spacing w:line="360" w:lineRule="exact"/>
              <w:rPr>
                <w:rFonts w:ascii="宋体" w:hAnsi="宋体" w:cs="宋体"/>
                <w:color w:val="auto"/>
                <w:kern w:val="0"/>
                <w:sz w:val="24"/>
                <w:szCs w:val="24"/>
              </w:rPr>
            </w:pPr>
            <w:r>
              <w:rPr>
                <w:rFonts w:hint="eastAsia" w:ascii="宋体" w:hAnsi="宋体" w:cs="宋体"/>
                <w:b/>
                <w:bCs/>
                <w:color w:val="auto"/>
                <w:sz w:val="24"/>
                <w:szCs w:val="24"/>
              </w:rPr>
              <w:t xml:space="preserve">网上截图盖章， </w:t>
            </w:r>
            <w:r>
              <w:rPr>
                <w:rFonts w:hint="eastAsia" w:ascii="宋体" w:hAnsi="宋体" w:cs="宋体"/>
                <w:color w:val="auto"/>
                <w:sz w:val="24"/>
                <w:szCs w:val="24"/>
              </w:rPr>
              <w:t>复印件加盖公章装订投标文件</w:t>
            </w:r>
          </w:p>
        </w:tc>
        <w:tc>
          <w:tcPr>
            <w:tcW w:w="1046" w:type="dxa"/>
            <w:tcBorders>
              <w:top w:val="single" w:color="auto" w:sz="4" w:space="0"/>
              <w:left w:val="single" w:color="auto" w:sz="4" w:space="0"/>
              <w:bottom w:val="single" w:color="auto" w:sz="4" w:space="0"/>
              <w:right w:val="single" w:color="auto" w:sz="4" w:space="0"/>
            </w:tcBorders>
            <w:vAlign w:val="center"/>
          </w:tcPr>
          <w:p w14:paraId="75EC3C78">
            <w:pPr>
              <w:spacing w:line="360" w:lineRule="exact"/>
              <w:jc w:val="center"/>
              <w:rPr>
                <w:rFonts w:ascii="宋体" w:hAnsi="宋体" w:cs="宋体"/>
                <w:kern w:val="0"/>
                <w:sz w:val="24"/>
                <w:szCs w:val="24"/>
              </w:rPr>
            </w:pPr>
            <w:r>
              <w:rPr>
                <w:rFonts w:hint="eastAsia" w:ascii="宋体" w:hAnsi="宋体" w:cs="宋体"/>
                <w:kern w:val="0"/>
                <w:sz w:val="24"/>
                <w:szCs w:val="24"/>
              </w:rPr>
              <w:t>否</w:t>
            </w:r>
          </w:p>
        </w:tc>
      </w:tr>
    </w:tbl>
    <w:p w14:paraId="702343A6">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eastAsia="zh-CN"/>
        </w:rPr>
      </w:pPr>
      <w:r>
        <w:rPr>
          <w:rFonts w:hint="eastAsia" w:ascii="宋体" w:hAnsi="宋体" w:cs="宋体"/>
          <w:b w:val="0"/>
          <w:bCs w:val="0"/>
          <w:kern w:val="2"/>
          <w:sz w:val="24"/>
          <w:szCs w:val="24"/>
          <w:lang w:eastAsia="zh-CN"/>
        </w:rPr>
        <w:t>本次招标采用资质后审方式，在整个采购过程中，由采购人或招标代理机构组织评委对投标人的资质进行审查，若发现投标人的资质条件不符合招标文件要求，可随时取消其投标或中标资格。</w:t>
      </w:r>
    </w:p>
    <w:p w14:paraId="0E0450D5">
      <w:pPr>
        <w:pStyle w:val="3"/>
        <w:keepNext w:val="0"/>
        <w:keepLines w:val="0"/>
        <w:pageBreakBefore w:val="0"/>
        <w:widowControl w:val="0"/>
        <w:kinsoku/>
        <w:wordWrap/>
        <w:overflowPunct/>
        <w:topLinePunct w:val="0"/>
        <w:bidi w:val="0"/>
        <w:snapToGrid/>
        <w:spacing w:before="0" w:after="0" w:line="24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三、获取采购文件</w:t>
      </w:r>
      <w:bookmarkEnd w:id="7"/>
      <w:bookmarkEnd w:id="8"/>
      <w:bookmarkEnd w:id="9"/>
      <w:bookmarkEnd w:id="10"/>
    </w:p>
    <w:p w14:paraId="1378C52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报名地点：盱眙县山水大道88号中澳生态城商业区52号楼210室</w:t>
      </w:r>
    </w:p>
    <w:p w14:paraId="6156717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联系人：苗玉丹 电话：18052373756。</w:t>
      </w:r>
    </w:p>
    <w:p w14:paraId="67267D0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bCs/>
          <w:kern w:val="2"/>
          <w:sz w:val="24"/>
          <w:szCs w:val="24"/>
          <w:lang w:val="en-US" w:eastAsia="zh-CN"/>
        </w:rPr>
      </w:pPr>
      <w:r>
        <w:rPr>
          <w:rFonts w:hint="eastAsia" w:ascii="宋体" w:hAnsi="宋体" w:cs="宋体"/>
          <w:b w:val="0"/>
          <w:bCs w:val="0"/>
          <w:kern w:val="2"/>
          <w:sz w:val="24"/>
          <w:szCs w:val="24"/>
          <w:lang w:val="en-US" w:eastAsia="zh-CN"/>
        </w:rPr>
        <w:t>报名截止时间：</w:t>
      </w:r>
      <w:r>
        <w:rPr>
          <w:rFonts w:hint="eastAsia" w:ascii="宋体" w:hAnsi="宋体" w:cs="宋体"/>
          <w:b/>
          <w:bCs/>
          <w:kern w:val="2"/>
          <w:sz w:val="24"/>
          <w:szCs w:val="24"/>
          <w:lang w:val="en-US" w:eastAsia="zh-CN"/>
        </w:rPr>
        <w:t>2026年10月16日17：30前。</w:t>
      </w:r>
    </w:p>
    <w:p w14:paraId="7761A2B3">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报名缴纳报名费人民币300.00元（无论中标结果如何概不退还）同时领取磋商文件。</w:t>
      </w:r>
    </w:p>
    <w:p w14:paraId="7AC7B37C">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报名汇款单位名称：正军项目管理集团有限公司盱眙分公司  </w:t>
      </w:r>
    </w:p>
    <w:p w14:paraId="3BE0D23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纳税人识别号：91320830MAC9YCB3XN</w:t>
      </w:r>
    </w:p>
    <w:p w14:paraId="7676376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地址：盱眙县山水大道88号中澳生态城商业区52号楼210室</w:t>
      </w:r>
    </w:p>
    <w:p w14:paraId="4491D1FF">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开户行：江苏农村商业银行开发区支行账号：3208300361010000044700</w:t>
      </w:r>
    </w:p>
    <w:p w14:paraId="1D901AE1">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报名资料提供：营业执照、授权书（注明联系人、电话、邮箱等信息）、报名费转账凭证和身份证复印件加盖公章。 </w:t>
      </w:r>
    </w:p>
    <w:p w14:paraId="7195DCF4">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注：可邮箱发送报名资料至947246732@qq.com（备注公司名称+项目名称）获取磋商文件。</w:t>
      </w:r>
      <w:r>
        <w:rPr>
          <w:rFonts w:hint="eastAsia" w:ascii="宋体" w:hAnsi="宋体" w:cs="宋体"/>
          <w:b/>
          <w:bCs/>
          <w:kern w:val="2"/>
          <w:sz w:val="24"/>
          <w:szCs w:val="24"/>
          <w:lang w:val="en-US" w:eastAsia="zh-CN"/>
        </w:rPr>
        <w:t>未报名或未获取磋商文件的供应商，采购人有权拒绝其参与本项目</w:t>
      </w:r>
      <w:r>
        <w:rPr>
          <w:rFonts w:hint="eastAsia" w:ascii="宋体" w:hAnsi="宋体" w:cs="宋体"/>
          <w:b w:val="0"/>
          <w:bCs w:val="0"/>
          <w:kern w:val="2"/>
          <w:sz w:val="24"/>
          <w:szCs w:val="24"/>
          <w:lang w:val="en-US" w:eastAsia="zh-CN"/>
        </w:rPr>
        <w:t>。</w:t>
      </w:r>
    </w:p>
    <w:p w14:paraId="33DB4E62">
      <w:pPr>
        <w:pStyle w:val="3"/>
        <w:keepNext w:val="0"/>
        <w:keepLines w:val="0"/>
        <w:spacing w:before="0" w:after="0" w:line="380" w:lineRule="exact"/>
        <w:ind w:firstLine="482" w:firstLineChars="200"/>
        <w:rPr>
          <w:rFonts w:hint="eastAsia" w:ascii="宋体" w:hAnsi="宋体" w:eastAsia="宋体" w:cs="宋体"/>
          <w:b/>
          <w:bCs/>
          <w:kern w:val="2"/>
          <w:sz w:val="24"/>
          <w:szCs w:val="24"/>
          <w:lang w:val="en-US" w:eastAsia="zh-CN" w:bidi="ar-SA"/>
        </w:rPr>
      </w:pPr>
      <w:bookmarkStart w:id="11" w:name="_Toc28359092"/>
      <w:bookmarkStart w:id="12" w:name="_Toc35393632"/>
      <w:bookmarkStart w:id="13" w:name="_Toc35393801"/>
      <w:bookmarkStart w:id="14" w:name="_Toc28359015"/>
      <w:r>
        <w:rPr>
          <w:rFonts w:hint="eastAsia" w:ascii="宋体" w:hAnsi="宋体" w:eastAsia="宋体" w:cs="宋体"/>
          <w:b/>
          <w:bCs/>
          <w:kern w:val="2"/>
          <w:sz w:val="24"/>
          <w:szCs w:val="24"/>
          <w:lang w:val="en-US" w:eastAsia="zh-CN" w:bidi="ar-SA"/>
        </w:rPr>
        <w:t>四、响应文件提交</w:t>
      </w:r>
      <w:bookmarkEnd w:id="11"/>
      <w:bookmarkEnd w:id="12"/>
      <w:bookmarkEnd w:id="13"/>
      <w:bookmarkEnd w:id="14"/>
    </w:p>
    <w:p w14:paraId="239FCEF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left="479" w:leftChars="228" w:firstLine="0" w:firstLineChars="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截止时间：</w:t>
      </w:r>
      <w:r>
        <w:rPr>
          <w:rFonts w:hint="eastAsia" w:ascii="宋体" w:hAnsi="宋体" w:cs="宋体"/>
          <w:b/>
          <w:bCs/>
          <w:kern w:val="2"/>
          <w:sz w:val="24"/>
          <w:szCs w:val="24"/>
          <w:lang w:val="en-US" w:eastAsia="zh-CN"/>
        </w:rPr>
        <w:t>2026年10月20日15点00分</w:t>
      </w:r>
      <w:r>
        <w:rPr>
          <w:rFonts w:hint="eastAsia" w:ascii="宋体" w:hAnsi="宋体" w:cs="宋体"/>
          <w:b w:val="0"/>
          <w:bCs w:val="0"/>
          <w:kern w:val="2"/>
          <w:sz w:val="24"/>
          <w:szCs w:val="24"/>
          <w:lang w:val="en-US" w:eastAsia="zh-CN"/>
        </w:rPr>
        <w:t>（北京时间）</w:t>
      </w:r>
    </w:p>
    <w:p w14:paraId="5D4A7877">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rPr>
        <w:t>地点：</w:t>
      </w:r>
      <w:bookmarkStart w:id="15" w:name="_Toc35393633"/>
      <w:bookmarkStart w:id="16" w:name="_Toc28359016"/>
      <w:bookmarkStart w:id="17" w:name="_Toc35393802"/>
      <w:bookmarkStart w:id="18" w:name="_Toc28359093"/>
      <w:r>
        <w:rPr>
          <w:rFonts w:hint="eastAsia" w:ascii="宋体" w:hAnsi="宋体" w:cs="宋体"/>
          <w:b w:val="0"/>
          <w:bCs w:val="0"/>
          <w:kern w:val="2"/>
          <w:sz w:val="24"/>
          <w:szCs w:val="24"/>
          <w:lang w:val="en-US" w:eastAsia="zh-CN"/>
        </w:rPr>
        <w:t>江苏盱眙农村商业银行（合欢大道2号7楼会议室）</w:t>
      </w:r>
    </w:p>
    <w:p w14:paraId="047831AA">
      <w:pPr>
        <w:adjustRightInd w:val="0"/>
        <w:spacing w:line="380" w:lineRule="exact"/>
        <w:ind w:firstLine="482" w:firstLineChars="200"/>
        <w:jc w:val="left"/>
        <w:rPr>
          <w:rFonts w:hint="eastAsia" w:ascii="宋体" w:hAnsi="宋体" w:eastAsia="宋体" w:cs="宋体"/>
          <w:b w:val="0"/>
          <w:bCs w:val="0"/>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w:t>
      </w:r>
      <w:r>
        <w:rPr>
          <w:rFonts w:hint="eastAsia" w:ascii="宋体" w:hAnsi="宋体" w:eastAsia="宋体" w:cs="宋体"/>
          <w:b/>
          <w:bCs/>
          <w:kern w:val="2"/>
          <w:sz w:val="24"/>
          <w:szCs w:val="24"/>
          <w:highlight w:val="none"/>
          <w:lang w:val="en-US" w:eastAsia="zh-CN" w:bidi="ar-SA"/>
        </w:rPr>
        <w:t>、开启</w:t>
      </w:r>
      <w:bookmarkEnd w:id="15"/>
      <w:bookmarkEnd w:id="16"/>
      <w:bookmarkEnd w:id="17"/>
      <w:bookmarkEnd w:id="18"/>
    </w:p>
    <w:p w14:paraId="003819D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2" w:firstLineChars="200"/>
        <w:jc w:val="left"/>
        <w:textAlignment w:val="auto"/>
        <w:rPr>
          <w:rFonts w:hint="eastAsia" w:ascii="宋体" w:hAnsi="宋体" w:cs="宋体"/>
          <w:b/>
          <w:bCs/>
          <w:kern w:val="2"/>
          <w:sz w:val="24"/>
          <w:szCs w:val="24"/>
          <w:lang w:val="en-US" w:eastAsia="zh-CN"/>
        </w:rPr>
      </w:pPr>
      <w:r>
        <w:rPr>
          <w:rFonts w:hint="eastAsia" w:ascii="宋体" w:hAnsi="宋体" w:cs="宋体"/>
          <w:b/>
          <w:bCs/>
          <w:kern w:val="2"/>
          <w:sz w:val="24"/>
          <w:szCs w:val="24"/>
          <w:lang w:val="en-US" w:eastAsia="zh-CN"/>
        </w:rPr>
        <w:t>时间：2026年10月20日15点00分（北京时间）</w:t>
      </w:r>
    </w:p>
    <w:p w14:paraId="7DED181C">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地点：江苏盱眙农村商业银行（合欢大道2号7楼会议室）</w:t>
      </w:r>
    </w:p>
    <w:p w14:paraId="3C8BEA2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rPr>
        <w:t>逾期递交招标人或招标代理机构不予接收</w:t>
      </w:r>
      <w:r>
        <w:rPr>
          <w:rFonts w:hint="eastAsia" w:ascii="宋体" w:hAnsi="宋体" w:eastAsia="宋体" w:cs="宋体"/>
          <w:b w:val="0"/>
          <w:bCs w:val="0"/>
          <w:kern w:val="2"/>
          <w:sz w:val="24"/>
          <w:szCs w:val="24"/>
          <w:lang w:val="en-US" w:eastAsia="zh-CN" w:bidi="ar-SA"/>
        </w:rPr>
        <w:t>。</w:t>
      </w:r>
      <w:bookmarkStart w:id="19" w:name="_Toc35393634"/>
      <w:bookmarkStart w:id="20" w:name="_Toc28359094"/>
      <w:bookmarkStart w:id="21" w:name="_Toc35393803"/>
      <w:bookmarkStart w:id="22" w:name="_Toc28359017"/>
    </w:p>
    <w:p w14:paraId="435986F5">
      <w:pPr>
        <w:spacing w:line="380" w:lineRule="exact"/>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六、公告期限</w:t>
      </w:r>
      <w:bookmarkEnd w:id="19"/>
      <w:bookmarkEnd w:id="20"/>
      <w:bookmarkEnd w:id="21"/>
      <w:bookmarkEnd w:id="22"/>
    </w:p>
    <w:p w14:paraId="409FE8C0">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自本公告发布之日起5个工作日。</w:t>
      </w:r>
    </w:p>
    <w:p w14:paraId="1F9BC3DE">
      <w:pPr>
        <w:pStyle w:val="3"/>
        <w:keepNext w:val="0"/>
        <w:keepLines w:val="0"/>
        <w:spacing w:before="0" w:after="0" w:line="380" w:lineRule="exact"/>
        <w:ind w:firstLine="482" w:firstLineChars="200"/>
        <w:rPr>
          <w:rFonts w:hint="eastAsia" w:ascii="宋体" w:hAnsi="宋体" w:eastAsia="宋体" w:cs="宋体"/>
          <w:b/>
          <w:bCs/>
          <w:kern w:val="2"/>
          <w:sz w:val="24"/>
          <w:szCs w:val="24"/>
          <w:lang w:val="en-US" w:eastAsia="zh-CN" w:bidi="ar-SA"/>
        </w:rPr>
      </w:pPr>
      <w:bookmarkStart w:id="23" w:name="_Toc35393804"/>
      <w:bookmarkStart w:id="24" w:name="_Toc35393635"/>
      <w:r>
        <w:rPr>
          <w:rFonts w:hint="eastAsia" w:ascii="宋体" w:hAnsi="宋体" w:eastAsia="宋体" w:cs="宋体"/>
          <w:b/>
          <w:bCs/>
          <w:kern w:val="2"/>
          <w:sz w:val="24"/>
          <w:szCs w:val="24"/>
          <w:lang w:val="en-US" w:eastAsia="zh-CN" w:bidi="ar-SA"/>
        </w:rPr>
        <w:t>七、其他补充事宜</w:t>
      </w:r>
      <w:bookmarkEnd w:id="23"/>
      <w:bookmarkEnd w:id="24"/>
    </w:p>
    <w:p w14:paraId="23CB557A">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bookmarkStart w:id="25" w:name="_Toc35393636"/>
      <w:bookmarkStart w:id="26" w:name="_Toc28359095"/>
      <w:bookmarkStart w:id="27" w:name="_Toc28359018"/>
      <w:bookmarkStart w:id="28" w:name="_Toc35393805"/>
      <w:r>
        <w:rPr>
          <w:rFonts w:hint="eastAsia" w:ascii="宋体" w:hAnsi="宋体" w:cs="宋体"/>
          <w:b w:val="0"/>
          <w:bCs w:val="0"/>
          <w:kern w:val="2"/>
          <w:sz w:val="24"/>
          <w:szCs w:val="24"/>
          <w:lang w:val="en-US" w:eastAsia="zh-CN"/>
        </w:rPr>
        <w:t>1、投标保证金：无。</w:t>
      </w:r>
    </w:p>
    <w:p w14:paraId="1836DBF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2、履约保证金：无。</w:t>
      </w:r>
    </w:p>
    <w:p w14:paraId="25D66A9E">
      <w:pPr>
        <w:pStyle w:val="66"/>
        <w:widowControl w:val="0"/>
        <w:spacing w:before="0" w:after="0" w:line="380" w:lineRule="exact"/>
        <w:ind w:firstLine="48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八、凡对本次采购提出询问，请按以下方式联系。</w:t>
      </w:r>
      <w:bookmarkEnd w:id="25"/>
      <w:bookmarkEnd w:id="26"/>
      <w:bookmarkEnd w:id="27"/>
      <w:bookmarkEnd w:id="28"/>
      <w:bookmarkStart w:id="29" w:name="_Toc35393806"/>
      <w:bookmarkStart w:id="30" w:name="_Toc28359096"/>
      <w:bookmarkStart w:id="31" w:name="_Toc28359019"/>
      <w:bookmarkStart w:id="32" w:name="_Toc35393637"/>
    </w:p>
    <w:p w14:paraId="62EA91CD">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1.采购人信息</w:t>
      </w:r>
      <w:bookmarkEnd w:id="29"/>
      <w:bookmarkEnd w:id="30"/>
      <w:bookmarkEnd w:id="31"/>
      <w:bookmarkEnd w:id="32"/>
    </w:p>
    <w:p w14:paraId="5C997F3B">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名    称：江苏盱眙农村商业银行股份有限公司</w:t>
      </w:r>
    </w:p>
    <w:p w14:paraId="30918FEC">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    址：合欢大道2号</w:t>
      </w:r>
    </w:p>
    <w:p w14:paraId="0D0C3E2B">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联系人：</w:t>
      </w:r>
      <w:r>
        <w:rPr>
          <w:rFonts w:hint="eastAsia" w:ascii="宋体" w:hAnsi="宋体" w:cs="宋体"/>
          <w:b w:val="0"/>
          <w:bCs w:val="0"/>
          <w:kern w:val="2"/>
          <w:sz w:val="24"/>
          <w:szCs w:val="24"/>
          <w:lang w:val="en-US" w:eastAsia="zh-CN"/>
        </w:rPr>
        <w:t>陈女士</w:t>
      </w:r>
      <w:r>
        <w:rPr>
          <w:rFonts w:hint="eastAsia" w:ascii="宋体" w:hAnsi="宋体" w:eastAsia="宋体" w:cs="宋体"/>
          <w:b w:val="0"/>
          <w:bCs w:val="0"/>
          <w:kern w:val="2"/>
          <w:sz w:val="24"/>
          <w:szCs w:val="24"/>
          <w:lang w:val="en-US" w:eastAsia="zh-CN"/>
        </w:rPr>
        <w:t xml:space="preserve">                     </w:t>
      </w:r>
    </w:p>
    <w:p w14:paraId="51AE4769">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电话：</w:t>
      </w:r>
      <w:r>
        <w:rPr>
          <w:rFonts w:hint="eastAsia" w:ascii="宋体" w:hAnsi="宋体" w:cs="宋体"/>
          <w:b w:val="0"/>
          <w:bCs w:val="0"/>
          <w:kern w:val="2"/>
          <w:sz w:val="24"/>
          <w:szCs w:val="24"/>
          <w:lang w:val="en-US" w:eastAsia="zh-CN"/>
        </w:rPr>
        <w:t>15195368707</w:t>
      </w:r>
      <w:r>
        <w:rPr>
          <w:rFonts w:hint="eastAsia" w:ascii="宋体" w:hAnsi="宋体" w:eastAsia="宋体" w:cs="宋体"/>
          <w:b w:val="0"/>
          <w:bCs w:val="0"/>
          <w:kern w:val="2"/>
          <w:sz w:val="24"/>
          <w:szCs w:val="24"/>
          <w:lang w:val="en-US" w:eastAsia="zh-CN"/>
        </w:rPr>
        <w:t xml:space="preserve"> </w:t>
      </w:r>
    </w:p>
    <w:p w14:paraId="52A3D4DA">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2、采购代理机构信息</w:t>
      </w:r>
    </w:p>
    <w:p w14:paraId="1F6F6362">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名    称：正军项目管理集团有限公司                                                               </w:t>
      </w:r>
    </w:p>
    <w:p w14:paraId="6A37DBDE">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地    址：盱眙县山水大道88号中澳生态城商业区52号楼210室              </w:t>
      </w:r>
    </w:p>
    <w:p w14:paraId="5972BF64">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联系方式：苗玉丹                      </w:t>
      </w:r>
    </w:p>
    <w:p w14:paraId="23425BB5">
      <w:pPr>
        <w:pStyle w:val="2"/>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电话：18052373756</w:t>
      </w:r>
    </w:p>
    <w:p w14:paraId="793AE17A">
      <w:pPr>
        <w:snapToGrid w:val="0"/>
        <w:spacing w:line="380" w:lineRule="exact"/>
        <w:rPr>
          <w:rFonts w:hint="eastAsia" w:ascii="宋体" w:hAnsi="宋体" w:eastAsia="宋体" w:cs="宋体"/>
          <w:bCs/>
          <w:kern w:val="0"/>
          <w:sz w:val="24"/>
          <w:szCs w:val="24"/>
          <w:lang w:val="zh-CN"/>
        </w:rPr>
      </w:pPr>
    </w:p>
    <w:p w14:paraId="1489FF77">
      <w:pPr>
        <w:wordWrap/>
        <w:snapToGrid w:val="0"/>
        <w:spacing w:line="240" w:lineRule="auto"/>
        <w:ind w:right="0"/>
        <w:jc w:val="right"/>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江苏盱眙农村商业银行股份有限公司</w:t>
      </w:r>
    </w:p>
    <w:p w14:paraId="47A0088F">
      <w:pPr>
        <w:wordWrap w:val="0"/>
        <w:snapToGrid w:val="0"/>
        <w:spacing w:line="240" w:lineRule="auto"/>
        <w:ind w:right="0"/>
        <w:jc w:val="right"/>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 xml:space="preserve">                               </w:t>
      </w:r>
      <w:r>
        <w:rPr>
          <w:rFonts w:hint="eastAsia" w:ascii="宋体" w:hAnsi="宋体" w:cs="宋体"/>
          <w:bCs/>
          <w:kern w:val="0"/>
          <w:sz w:val="24"/>
          <w:szCs w:val="24"/>
          <w:lang w:val="zh-CN"/>
        </w:rPr>
        <w:t>2026年</w:t>
      </w:r>
      <w:r>
        <w:rPr>
          <w:rFonts w:hint="eastAsia" w:ascii="宋体" w:hAnsi="宋体" w:cs="宋体"/>
          <w:bCs/>
          <w:kern w:val="0"/>
          <w:sz w:val="24"/>
          <w:szCs w:val="24"/>
          <w:lang w:val="en-US" w:eastAsia="zh-CN"/>
        </w:rPr>
        <w:t>10</w:t>
      </w:r>
      <w:r>
        <w:rPr>
          <w:rFonts w:hint="eastAsia" w:ascii="宋体" w:hAnsi="宋体" w:cs="宋体"/>
          <w:bCs/>
          <w:kern w:val="0"/>
          <w:sz w:val="24"/>
          <w:szCs w:val="24"/>
          <w:lang w:val="zh-CN"/>
        </w:rPr>
        <w:t>月</w:t>
      </w:r>
      <w:r>
        <w:rPr>
          <w:rFonts w:hint="eastAsia" w:ascii="宋体" w:hAnsi="宋体" w:cs="宋体"/>
          <w:bCs/>
          <w:kern w:val="0"/>
          <w:sz w:val="24"/>
          <w:szCs w:val="24"/>
          <w:lang w:val="en-US" w:eastAsia="zh-CN"/>
        </w:rPr>
        <w:t>10</w:t>
      </w:r>
      <w:bookmarkStart w:id="38" w:name="_GoBack"/>
      <w:bookmarkEnd w:id="38"/>
      <w:r>
        <w:rPr>
          <w:rFonts w:hint="eastAsia" w:ascii="宋体" w:hAnsi="宋体" w:eastAsia="宋体" w:cs="宋体"/>
          <w:bCs/>
          <w:kern w:val="0"/>
          <w:sz w:val="24"/>
          <w:szCs w:val="24"/>
          <w:lang w:val="zh-CN"/>
        </w:rPr>
        <w:t>日</w:t>
      </w:r>
    </w:p>
    <w:p w14:paraId="539320EF"/>
    <w:bookmarkEnd w:id="1"/>
    <w:bookmarkEnd w:id="2"/>
    <w:p w14:paraId="66F13EFF">
      <w:pPr>
        <w:spacing w:line="440" w:lineRule="exact"/>
        <w:jc w:val="center"/>
        <w:rPr>
          <w:rFonts w:hint="eastAsia" w:ascii="宋体" w:hAnsi="宋体" w:eastAsia="宋体" w:cs="宋体"/>
          <w:b/>
          <w:sz w:val="32"/>
          <w:szCs w:val="32"/>
        </w:rPr>
      </w:pPr>
    </w:p>
    <w:p w14:paraId="088D18B4">
      <w:pPr>
        <w:spacing w:line="440" w:lineRule="exact"/>
        <w:jc w:val="center"/>
        <w:rPr>
          <w:rFonts w:hint="eastAsia" w:ascii="宋体" w:hAnsi="宋体" w:eastAsia="宋体" w:cs="宋体"/>
          <w:b/>
          <w:sz w:val="32"/>
          <w:szCs w:val="32"/>
        </w:rPr>
      </w:pPr>
    </w:p>
    <w:p w14:paraId="44A0A03E">
      <w:pPr>
        <w:spacing w:line="440" w:lineRule="exact"/>
        <w:jc w:val="center"/>
        <w:rPr>
          <w:rFonts w:hint="eastAsia" w:ascii="宋体" w:hAnsi="宋体" w:eastAsia="宋体" w:cs="宋体"/>
          <w:b/>
          <w:sz w:val="32"/>
          <w:szCs w:val="32"/>
        </w:rPr>
      </w:pPr>
    </w:p>
    <w:p w14:paraId="4480EC28">
      <w:pPr>
        <w:spacing w:line="440" w:lineRule="exact"/>
        <w:jc w:val="center"/>
        <w:rPr>
          <w:rFonts w:hint="eastAsia" w:ascii="宋体" w:hAnsi="宋体" w:eastAsia="宋体" w:cs="宋体"/>
          <w:b/>
          <w:sz w:val="32"/>
          <w:szCs w:val="32"/>
        </w:rPr>
      </w:pPr>
    </w:p>
    <w:p w14:paraId="207D9BC7">
      <w:pPr>
        <w:spacing w:line="440" w:lineRule="exact"/>
        <w:jc w:val="center"/>
        <w:rPr>
          <w:rFonts w:hint="eastAsia" w:ascii="宋体" w:hAnsi="宋体" w:eastAsia="宋体" w:cs="宋体"/>
          <w:b/>
          <w:sz w:val="32"/>
          <w:szCs w:val="32"/>
        </w:rPr>
      </w:pPr>
    </w:p>
    <w:p w14:paraId="25C7D7F6">
      <w:pPr>
        <w:spacing w:line="440" w:lineRule="exact"/>
        <w:jc w:val="center"/>
        <w:rPr>
          <w:rFonts w:hint="eastAsia" w:ascii="宋体" w:hAnsi="宋体" w:eastAsia="宋体" w:cs="宋体"/>
          <w:b/>
          <w:sz w:val="32"/>
          <w:szCs w:val="32"/>
        </w:rPr>
      </w:pPr>
    </w:p>
    <w:p w14:paraId="34CA077B">
      <w:pPr>
        <w:spacing w:line="440" w:lineRule="exact"/>
        <w:jc w:val="center"/>
        <w:rPr>
          <w:rFonts w:hint="eastAsia" w:ascii="宋体" w:hAnsi="宋体" w:eastAsia="宋体" w:cs="宋体"/>
          <w:b/>
          <w:sz w:val="32"/>
          <w:szCs w:val="32"/>
        </w:rPr>
      </w:pPr>
    </w:p>
    <w:p w14:paraId="1CD47803">
      <w:pPr>
        <w:spacing w:line="440" w:lineRule="exact"/>
        <w:jc w:val="center"/>
        <w:rPr>
          <w:rFonts w:hint="eastAsia" w:ascii="宋体" w:hAnsi="宋体" w:eastAsia="宋体" w:cs="宋体"/>
          <w:b/>
          <w:bCs/>
          <w:sz w:val="44"/>
          <w:szCs w:val="44"/>
        </w:rPr>
      </w:pPr>
      <w:r>
        <w:rPr>
          <w:rFonts w:hint="eastAsia" w:ascii="宋体" w:hAnsi="宋体" w:eastAsia="宋体" w:cs="宋体"/>
          <w:b/>
          <w:sz w:val="32"/>
          <w:szCs w:val="32"/>
        </w:rPr>
        <w:t>第二篇  供应商须知</w:t>
      </w:r>
    </w:p>
    <w:p w14:paraId="75D3AB44">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一、总    则</w:t>
      </w:r>
    </w:p>
    <w:p w14:paraId="7E48CACC">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1.适用范围</w:t>
      </w:r>
    </w:p>
    <w:p w14:paraId="36F45522">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1.1本磋商文件仅适用于本次磋商项目中所述项目的采购。</w:t>
      </w:r>
    </w:p>
    <w:p w14:paraId="1D7CCF7F">
      <w:pPr>
        <w:keepNext w:val="0"/>
        <w:keepLines w:val="0"/>
        <w:pageBreakBefore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2.合格的磋商供应商</w:t>
      </w:r>
    </w:p>
    <w:p w14:paraId="42084ADC">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2.1磋商供应商必须符合第一篇磋商公告中磋商供应商资质要求；</w:t>
      </w:r>
    </w:p>
    <w:p w14:paraId="333CBD6D">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4"/>
        </w:rPr>
        <w:t xml:space="preserve">   2.2凡有能力按照磋商文件规定的磋商供应商均为合格的磋商供应商。</w:t>
      </w:r>
    </w:p>
    <w:p w14:paraId="02F334FD">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3.磋商费用</w:t>
      </w:r>
    </w:p>
    <w:p w14:paraId="4F4FC58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磋商供应商准备和参加磋商活动发生的所有费用自理。</w:t>
      </w:r>
      <w:r>
        <w:rPr>
          <w:rFonts w:hint="eastAsia" w:ascii="宋体" w:hAnsi="宋体" w:eastAsia="宋体" w:cs="宋体"/>
          <w:color w:val="000000"/>
          <w:sz w:val="24"/>
          <w:lang w:val="en-US" w:eastAsia="zh-CN"/>
        </w:rPr>
        <w:t>招标代理费按《江苏省政府采购代理服务收费指导意见》（苏政采协[2024]20号）文件规定的收费标准计取</w:t>
      </w:r>
      <w:r>
        <w:rPr>
          <w:rFonts w:hint="eastAsia" w:ascii="宋体" w:hAnsi="宋体" w:eastAsia="宋体" w:cs="宋体"/>
          <w:color w:val="000000"/>
          <w:sz w:val="24"/>
        </w:rPr>
        <w:t>，由成交供应商在领取成交通知书时向代理机构一次性付清。</w:t>
      </w:r>
      <w:r>
        <w:rPr>
          <w:rFonts w:hint="eastAsia" w:ascii="宋体" w:hAnsi="宋体" w:eastAsia="宋体" w:cs="宋体"/>
          <w:sz w:val="24"/>
          <w:szCs w:val="24"/>
        </w:rPr>
        <w:t>投标单位充分考虑所有风险计入总价不单独立项。</w:t>
      </w:r>
    </w:p>
    <w:p w14:paraId="28921889">
      <w:pPr>
        <w:pStyle w:val="66"/>
        <w:keepNext w:val="0"/>
        <w:keepLines w:val="0"/>
        <w:pageBreakBefore w:val="0"/>
        <w:kinsoku/>
        <w:wordWrap/>
        <w:overflowPunct/>
        <w:topLinePunct w:val="0"/>
        <w:autoSpaceDE/>
        <w:autoSpaceDN/>
        <w:bidi w:val="0"/>
        <w:adjustRightInd/>
        <w:snapToGrid w:val="0"/>
        <w:spacing w:before="0" w:line="440" w:lineRule="exact"/>
        <w:ind w:left="0" w:leftChars="0" w:firstLine="0" w:firstLineChars="0"/>
        <w:textAlignment w:val="auto"/>
        <w:rPr>
          <w:rFonts w:hint="eastAsia" w:ascii="宋体" w:hAnsi="宋体" w:eastAsia="宋体" w:cs="宋体"/>
          <w:b/>
          <w:sz w:val="28"/>
          <w:szCs w:val="28"/>
        </w:rPr>
      </w:pPr>
      <w:r>
        <w:rPr>
          <w:rFonts w:hint="eastAsia" w:ascii="宋体" w:hAnsi="宋体" w:eastAsia="宋体" w:cs="宋体"/>
          <w:b/>
          <w:sz w:val="28"/>
          <w:szCs w:val="28"/>
        </w:rPr>
        <w:t>4.法律适用</w:t>
      </w:r>
    </w:p>
    <w:p w14:paraId="67AC4FD6">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4"/>
        </w:rPr>
        <w:t>4.1本次磋商活动及由本次磋商产生的合同受中华人民共和国法律、法规的制约和保护。</w:t>
      </w:r>
    </w:p>
    <w:p w14:paraId="270EBD2A">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5.磋商文件的约束力</w:t>
      </w:r>
    </w:p>
    <w:p w14:paraId="1A9B21B3">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 xml:space="preserve"> 5.1磋商供应商一旦参加磋商，即被认为接受了本磋商文件中的所有要求和规定。</w:t>
      </w:r>
    </w:p>
    <w:p w14:paraId="7D4E8EFC">
      <w:pPr>
        <w:pStyle w:val="66"/>
        <w:ind w:left="0" w:leftChars="0" w:firstLine="0" w:firstLineChars="0"/>
        <w:rPr>
          <w:rFonts w:hint="eastAsia" w:ascii="宋体" w:hAnsi="宋体" w:eastAsia="宋体" w:cs="宋体"/>
        </w:rPr>
      </w:pPr>
    </w:p>
    <w:p w14:paraId="67166089">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二、磋商文件</w:t>
      </w:r>
    </w:p>
    <w:p w14:paraId="44AEFE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6.磋商文件的组成</w:t>
      </w:r>
    </w:p>
    <w:p w14:paraId="6D3BCA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6.1磋商文件包括：</w:t>
      </w:r>
    </w:p>
    <w:p w14:paraId="69F7555D">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60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 竞争性磋商公告</w:t>
      </w:r>
    </w:p>
    <w:p w14:paraId="08A4EE1A">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600" w:leftChars="0" w:firstLine="0" w:firstLineChars="0"/>
        <w:textAlignment w:val="auto"/>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供应商须知</w:t>
      </w:r>
    </w:p>
    <w:p w14:paraId="5D763C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第三篇  招标项目需求</w:t>
      </w:r>
    </w:p>
    <w:p w14:paraId="037E18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第四篇  合同条款及前附表</w:t>
      </w:r>
    </w:p>
    <w:p w14:paraId="580DD2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第五篇  响应文件格式</w:t>
      </w:r>
    </w:p>
    <w:p w14:paraId="1DC383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6.2磋商供应商被视为充分熟悉本磋商采购项目所在地与履行合同有关的各种情况，包括自然环境、气候条件、劳动力及公用设施等，本磋商文件不再对上述情况进行描述。</w:t>
      </w:r>
    </w:p>
    <w:p w14:paraId="1A7451C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6.3磋商供应商必须认真阅读磋商文件的所有条款、文件及表格格式。</w:t>
      </w:r>
    </w:p>
    <w:p w14:paraId="42674D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7.磋商文件的澄清</w:t>
      </w:r>
    </w:p>
    <w:p w14:paraId="63CA6C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7.1任何对磋商文件要求进行澄清的磋商供应商，均应在法律规定的时间内按磋商文件要求提出（逾期递交对磋商文件要求进行澄清的采购人将不予收理）。</w:t>
      </w:r>
    </w:p>
    <w:p w14:paraId="030D28BA">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7.2提交首次响应文件截止之日前，采购人、采购代理机构可主动地或在解答供应商提出的澄清问题时对磋商文件进行必要的澄清或者修改，澄清或者修改的内容作为磋商文件的组成部分。澄清或者修改的内容可能影响响应文件编制的，采购人、采购代理机构应当在提交首次响应文件截止之日3个工作日前，以电子数据形式通知潜在磋商文件的供应商</w:t>
      </w:r>
      <w:r>
        <w:rPr>
          <w:rFonts w:hint="eastAsia" w:ascii="宋体" w:hAnsi="宋体" w:eastAsia="宋体" w:cs="宋体"/>
          <w:kern w:val="2"/>
          <w:sz w:val="24"/>
          <w:szCs w:val="24"/>
          <w:lang w:val="en-US" w:eastAsia="zh-CN" w:bidi="ar-SA"/>
        </w:rPr>
        <w:t>，并在江苏盱眙农村商业银行网站上公告。</w:t>
      </w:r>
      <w:r>
        <w:rPr>
          <w:rFonts w:hint="eastAsia" w:ascii="宋体" w:hAnsi="宋体" w:eastAsia="宋体" w:cs="宋体"/>
          <w:sz w:val="24"/>
        </w:rPr>
        <w:t>不足3个工作日的，应当顺延提交首次响应文件截止之日。</w:t>
      </w:r>
    </w:p>
    <w:p w14:paraId="589829C4">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7.3供应商应在磋商文件递交截止时间前连续登陆</w:t>
      </w:r>
      <w:r>
        <w:rPr>
          <w:rFonts w:hint="eastAsia" w:ascii="宋体" w:hAnsi="宋体" w:eastAsia="宋体" w:cs="宋体"/>
          <w:kern w:val="2"/>
          <w:sz w:val="24"/>
          <w:szCs w:val="24"/>
          <w:lang w:val="en-US" w:eastAsia="zh-CN" w:bidi="ar-SA"/>
        </w:rPr>
        <w:t>江苏盱眙农村商业银行网站</w:t>
      </w:r>
      <w:r>
        <w:rPr>
          <w:rFonts w:hint="eastAsia" w:ascii="宋体" w:hAnsi="宋体" w:eastAsia="宋体" w:cs="宋体"/>
          <w:sz w:val="24"/>
        </w:rPr>
        <w:t>查看采购信息的更正或修改，因供应商未能登陆网站查看，责任由供应商自己负责。</w:t>
      </w:r>
    </w:p>
    <w:p w14:paraId="246A41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8.磋商文件的补充</w:t>
      </w:r>
    </w:p>
    <w:p w14:paraId="01D03C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8.1在磋商时间前，由于需对磋商供应商的提问进行澄清或其它任何原因，采购人可对磋商文件用补充文件的方式进行修正。</w:t>
      </w:r>
    </w:p>
    <w:p w14:paraId="139DF6F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8.2 对磋商文件的补充，采购</w:t>
      </w:r>
      <w:r>
        <w:rPr>
          <w:rFonts w:hint="eastAsia" w:ascii="宋体" w:hAnsi="宋体" w:eastAsia="宋体" w:cs="宋体"/>
          <w:kern w:val="2"/>
          <w:sz w:val="24"/>
          <w:szCs w:val="24"/>
          <w:lang w:val="en-US" w:eastAsia="zh-CN" w:bidi="ar-SA"/>
        </w:rPr>
        <w:t>人将在江苏盱眙农村商业银行网</w:t>
      </w:r>
      <w:r>
        <w:rPr>
          <w:rFonts w:hint="eastAsia" w:ascii="宋体" w:hAnsi="宋体" w:eastAsia="宋体" w:cs="宋体"/>
          <w:sz w:val="24"/>
        </w:rPr>
        <w:t>进行公布。补充文件将被作为磋商文件的组成部分，对所有磋商供应商有约束力。</w:t>
      </w:r>
    </w:p>
    <w:p w14:paraId="7E2312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8.3磋商供应商须实时连续跟踪网页界面的更新，熟悉项目情况，未实时跟踪网页界面的更新其责任由磋商供应商自行承担。</w:t>
      </w:r>
    </w:p>
    <w:p w14:paraId="0D0D08D7">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8.4为使磋商供应商有足够的时间，对磋商文件的补充要求修正响应文件，采购人有权酌情推迟响应文件递交的截止日期和磋商时间，并将此变更在</w:t>
      </w:r>
      <w:r>
        <w:rPr>
          <w:rFonts w:hint="eastAsia" w:ascii="宋体" w:hAnsi="宋体" w:eastAsia="宋体" w:cs="宋体"/>
          <w:kern w:val="2"/>
          <w:sz w:val="24"/>
          <w:szCs w:val="24"/>
          <w:lang w:val="en-US" w:eastAsia="zh-CN" w:bidi="ar-SA"/>
        </w:rPr>
        <w:t>江苏盱眙农村商业银行网</w:t>
      </w:r>
      <w:r>
        <w:rPr>
          <w:rFonts w:hint="eastAsia" w:ascii="宋体" w:hAnsi="宋体" w:eastAsia="宋体" w:cs="宋体"/>
          <w:sz w:val="24"/>
        </w:rPr>
        <w:t>上进行公告。</w:t>
      </w:r>
    </w:p>
    <w:p w14:paraId="3A8D0EF9">
      <w:pPr>
        <w:spacing w:line="440" w:lineRule="exact"/>
        <w:jc w:val="center"/>
        <w:rPr>
          <w:rFonts w:hint="eastAsia" w:ascii="宋体" w:hAnsi="宋体" w:eastAsia="宋体" w:cs="宋体"/>
          <w:b/>
          <w:bCs/>
          <w:sz w:val="28"/>
          <w:szCs w:val="28"/>
        </w:rPr>
      </w:pPr>
    </w:p>
    <w:p w14:paraId="05B60F09">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三、 响应文件</w:t>
      </w:r>
    </w:p>
    <w:p w14:paraId="1FB238A0">
      <w:pPr>
        <w:pStyle w:val="66"/>
        <w:ind w:firstLine="420"/>
        <w:rPr>
          <w:rFonts w:hint="eastAsia" w:ascii="宋体" w:hAnsi="宋体" w:eastAsia="宋体" w:cs="宋体"/>
        </w:rPr>
      </w:pPr>
    </w:p>
    <w:p w14:paraId="7530110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9.响应文件的语言及度量衡</w:t>
      </w:r>
    </w:p>
    <w:p w14:paraId="49B518B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9.1磋商供应商以及响应文件与采购人之间的所有书面往来都应用</w:t>
      </w:r>
      <w:r>
        <w:rPr>
          <w:rFonts w:hint="eastAsia" w:ascii="宋体" w:hAnsi="宋体" w:eastAsia="宋体" w:cs="宋体"/>
          <w:sz w:val="24"/>
          <w:lang w:val="en-US" w:eastAsia="zh-CN"/>
        </w:rPr>
        <w:t>简体</w:t>
      </w:r>
      <w:r>
        <w:rPr>
          <w:rFonts w:hint="eastAsia" w:ascii="宋体" w:hAnsi="宋体" w:eastAsia="宋体" w:cs="宋体"/>
          <w:sz w:val="24"/>
        </w:rPr>
        <w:t>中文书写（请标注页码）。</w:t>
      </w:r>
    </w:p>
    <w:p w14:paraId="69A009F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9.2除技术性能另有规定外，响应文件所使用的度量衡单位，均须采用国家法定计量单位。</w:t>
      </w:r>
    </w:p>
    <w:p w14:paraId="5556086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10.响应文件的组成</w:t>
      </w:r>
    </w:p>
    <w:p w14:paraId="2A21387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10.1磋商供应商编写的响应文件应按磋商文件第五篇“响应文件格式”中的要求进行编写。</w:t>
      </w:r>
    </w:p>
    <w:p w14:paraId="581AD20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11.磋商报价</w:t>
      </w:r>
    </w:p>
    <w:p w14:paraId="1E04C6A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11.1价格部分是对全部货物（</w:t>
      </w:r>
      <w:r>
        <w:rPr>
          <w:rFonts w:hint="eastAsia" w:ascii="宋体" w:hAnsi="宋体" w:eastAsia="宋体" w:cs="宋体"/>
          <w:sz w:val="24"/>
          <w:lang w:val="en-US" w:eastAsia="zh-CN"/>
        </w:rPr>
        <w:t>工程、服务</w:t>
      </w:r>
      <w:r>
        <w:rPr>
          <w:rFonts w:hint="eastAsia" w:ascii="宋体" w:hAnsi="宋体" w:eastAsia="宋体" w:cs="宋体"/>
          <w:sz w:val="24"/>
        </w:rPr>
        <w:t>）价格构成的说明，文件如没有特别说明的话，对每一项仅接受一个价格。</w:t>
      </w:r>
    </w:p>
    <w:p w14:paraId="4A5541D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11.2报价为全费用报价（固定单价合同），磋商文件所确定的采购范围内的全部产品</w:t>
      </w:r>
      <w:r>
        <w:rPr>
          <w:rFonts w:hint="eastAsia" w:ascii="宋体" w:hAnsi="宋体" w:eastAsia="宋体" w:cs="宋体"/>
          <w:sz w:val="24"/>
          <w:lang w:eastAsia="zh-CN"/>
        </w:rPr>
        <w:t>（</w:t>
      </w:r>
      <w:r>
        <w:rPr>
          <w:rFonts w:hint="eastAsia" w:ascii="宋体" w:hAnsi="宋体" w:eastAsia="宋体" w:cs="宋体"/>
          <w:sz w:val="24"/>
          <w:lang w:val="en-US" w:eastAsia="zh-CN"/>
        </w:rPr>
        <w:t>货物、工程、服务</w:t>
      </w:r>
      <w:r>
        <w:rPr>
          <w:rFonts w:hint="eastAsia" w:ascii="宋体" w:hAnsi="宋体" w:eastAsia="宋体" w:cs="宋体"/>
          <w:sz w:val="24"/>
          <w:lang w:eastAsia="zh-CN"/>
        </w:rPr>
        <w:t>）</w:t>
      </w:r>
      <w:r>
        <w:rPr>
          <w:rFonts w:hint="eastAsia" w:ascii="宋体" w:hAnsi="宋体" w:eastAsia="宋体" w:cs="宋体"/>
          <w:sz w:val="24"/>
        </w:rPr>
        <w:t>价格体现。因此供应商的报价应包括所提供货物（产品）本身、制作费、安装费、服务费、</w:t>
      </w:r>
      <w:r>
        <w:rPr>
          <w:rFonts w:hint="eastAsia" w:ascii="宋体" w:hAnsi="宋体" w:eastAsia="宋体" w:cs="宋体"/>
          <w:sz w:val="24"/>
          <w:lang w:val="en-US" w:eastAsia="zh-CN"/>
        </w:rPr>
        <w:t>软件、硬件、</w:t>
      </w:r>
      <w:r>
        <w:rPr>
          <w:rFonts w:hint="eastAsia" w:ascii="宋体" w:hAnsi="宋体" w:eastAsia="宋体" w:cs="宋体"/>
          <w:sz w:val="24"/>
        </w:rPr>
        <w:t>培训费、人员费用、设备费用、交通费用、差旅费用、投标、代理及评审费用、多次专家论证、税费及其他有关的为完成本项目发生的所有费用，竞争性磋商文件中另有规定的除外。</w:t>
      </w:r>
    </w:p>
    <w:p w14:paraId="748CEB7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11.3供应商的任何错漏、优惠、竞争性报价不得作为减轻责任、减少服务、增加收费、降低质量的理由。</w:t>
      </w:r>
    </w:p>
    <w:p w14:paraId="503FD7F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11.4供应商应仔细阅读和理解招标文件中有关项目需求、义务、付款方式、付款条件和时间进度安排，充分考虑到市场价格变动以及项目实施过程中的不可预见因素，结合供应商自身条件进行报价，一旦成交，总价格不变。如果有漏项，视同让利。</w:t>
      </w:r>
    </w:p>
    <w:p w14:paraId="6864A23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11.2磋商供应商整个编制过程中的各种材料价格上涨的市场风险及国家政策性调整费用均应计入报价，以后不做调整。</w:t>
      </w:r>
    </w:p>
    <w:p w14:paraId="19DC8E29">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rPr>
      </w:pPr>
      <w:r>
        <w:rPr>
          <w:rFonts w:hint="eastAsia" w:ascii="宋体" w:hAnsi="宋体" w:eastAsia="宋体" w:cs="宋体"/>
          <w:sz w:val="24"/>
        </w:rPr>
        <w:t xml:space="preserve">  11.3本次项目不接受备选的磋商方案或有选择的报价。</w:t>
      </w:r>
    </w:p>
    <w:p w14:paraId="20AA529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12.报价货币</w:t>
      </w:r>
    </w:p>
    <w:p w14:paraId="7DA8F6F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12.1本次磋商项目报价均须以人民币为货币单位。</w:t>
      </w:r>
    </w:p>
    <w:p w14:paraId="79A5F66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13.磋商有效期</w:t>
      </w:r>
    </w:p>
    <w:p w14:paraId="165EA98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13.1磋商有效期为从磋商之日起计算的90天，磋商有效期短于此规定的响应文件将被视为非响应磋商而予以拒绝。</w:t>
      </w:r>
    </w:p>
    <w:p w14:paraId="4BC0B7A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lang w:val="en-US" w:eastAsia="zh-CN"/>
        </w:rPr>
      </w:pPr>
      <w:r>
        <w:rPr>
          <w:rFonts w:hint="eastAsia" w:ascii="宋体" w:hAnsi="宋体" w:eastAsia="宋体" w:cs="宋体"/>
          <w:sz w:val="24"/>
        </w:rPr>
        <w:t xml:space="preserve">   13.2在特殊情况下，采购人于原磋商有效期满之前，可向磋商供应商提出延长有效期的要求，这种要求与答复均应采用电子数据或书面形式如信件、传真或电报等。磋商供应商可以拒绝接受采购人的这种要求而放弃磋商，同意延长的磋商供应商既不能要求也不允许修改其响应文件。磋商有效期约束的所有权利与义务均延长至新的有效期。</w:t>
      </w:r>
      <w:r>
        <w:rPr>
          <w:rFonts w:hint="eastAsia" w:ascii="宋体" w:hAnsi="宋体" w:eastAsia="宋体" w:cs="宋体"/>
          <w:lang w:val="en-US" w:eastAsia="zh-CN"/>
        </w:rPr>
        <w:t xml:space="preserve">    </w:t>
      </w:r>
    </w:p>
    <w:p w14:paraId="295003D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14.</w:t>
      </w:r>
      <w:r>
        <w:rPr>
          <w:rFonts w:hint="eastAsia" w:ascii="宋体" w:hAnsi="宋体" w:eastAsia="宋体" w:cs="宋体"/>
          <w:b/>
          <w:sz w:val="28"/>
          <w:szCs w:val="28"/>
        </w:rPr>
        <w:t xml:space="preserve"> 响应文件份数和签署</w:t>
      </w:r>
    </w:p>
    <w:p w14:paraId="77D9DF5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highlight w:val="none"/>
          <w:lang w:val="en-US" w:eastAsia="zh-CN"/>
        </w:rPr>
      </w:pPr>
      <w:r>
        <w:rPr>
          <w:rFonts w:hint="eastAsia" w:ascii="宋体" w:hAnsi="宋体" w:eastAsia="宋体" w:cs="宋体"/>
          <w:sz w:val="24"/>
          <w:highlight w:val="none"/>
        </w:rPr>
        <w:t>14.1现场递交制作的纸质申请文件装订成册一正</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副</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在响应文件上注明“正本”“副本”</w:t>
      </w:r>
      <w:r>
        <w:rPr>
          <w:rFonts w:hint="eastAsia" w:ascii="宋体" w:hAnsi="宋体" w:eastAsia="宋体" w:cs="宋体"/>
          <w:sz w:val="24"/>
          <w:highlight w:val="none"/>
          <w:lang w:eastAsia="zh-CN"/>
        </w:rPr>
        <w:t>）</w:t>
      </w:r>
      <w:r>
        <w:rPr>
          <w:rFonts w:hint="eastAsia" w:ascii="宋体" w:hAnsi="宋体" w:eastAsia="宋体" w:cs="宋体"/>
          <w:sz w:val="24"/>
          <w:highlight w:val="none"/>
        </w:rPr>
        <w:t>，密封装订，</w:t>
      </w:r>
      <w:r>
        <w:rPr>
          <w:rFonts w:hint="eastAsia" w:ascii="宋体" w:hAnsi="宋体" w:eastAsia="宋体" w:cs="宋体"/>
          <w:sz w:val="24"/>
          <w:highlight w:val="none"/>
          <w:lang w:val="en-US" w:eastAsia="zh-CN"/>
        </w:rPr>
        <w:t>并在首页编制响应文件目录，</w:t>
      </w:r>
      <w:r>
        <w:rPr>
          <w:rFonts w:hint="eastAsia" w:ascii="宋体" w:hAnsi="宋体" w:eastAsia="宋体" w:cs="宋体"/>
          <w:sz w:val="24"/>
          <w:highlight w:val="none"/>
        </w:rPr>
        <w:t>申请文件应胶装装订成册，外密封套加盖单位公章注明项目名称、编号、供应商单位名称</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加盖公章</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地址、邮编、电话、传真</w:t>
      </w:r>
      <w:r>
        <w:rPr>
          <w:rFonts w:hint="eastAsia" w:ascii="宋体" w:hAnsi="宋体" w:eastAsia="宋体" w:cs="宋体"/>
          <w:sz w:val="24"/>
          <w:highlight w:val="none"/>
        </w:rPr>
        <w:t xml:space="preserve"> 。未按要求密封递交的申请文件，采购人将不予接受。</w:t>
      </w:r>
      <w:r>
        <w:rPr>
          <w:rFonts w:hint="eastAsia" w:ascii="宋体" w:hAnsi="宋体" w:eastAsia="宋体" w:cs="宋体"/>
          <w:kern w:val="0"/>
          <w:sz w:val="24"/>
          <w:highlight w:val="none"/>
        </w:rPr>
        <w:t>供应商应保证响应文件正本与副本的内容严格一致，如果正本与副本不一致，以正本为</w:t>
      </w:r>
      <w:r>
        <w:rPr>
          <w:rFonts w:hint="eastAsia" w:ascii="宋体" w:hAnsi="宋体" w:eastAsia="宋体" w:cs="宋体"/>
          <w:kern w:val="0"/>
          <w:sz w:val="24"/>
          <w:highlight w:val="none"/>
          <w:lang w:val="en-US" w:eastAsia="zh-CN"/>
        </w:rPr>
        <w:t>准。</w:t>
      </w:r>
    </w:p>
    <w:p w14:paraId="4128F85C">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w:t>
      </w:r>
      <w:r>
        <w:rPr>
          <w:rFonts w:hint="eastAsia" w:ascii="宋体" w:hAnsi="宋体" w:cs="宋体"/>
          <w:kern w:val="0"/>
          <w:sz w:val="24"/>
          <w:highlight w:val="none"/>
          <w:lang w:val="en-US" w:eastAsia="zh-CN"/>
        </w:rPr>
        <w:t>2</w:t>
      </w:r>
      <w:r>
        <w:rPr>
          <w:rFonts w:hint="eastAsia" w:ascii="宋体" w:hAnsi="宋体" w:eastAsia="宋体" w:cs="宋体"/>
          <w:kern w:val="0"/>
          <w:sz w:val="24"/>
          <w:highlight w:val="none"/>
        </w:rPr>
        <w:t>每一密封文件在封口处加盖供应商公章并注明“于202</w:t>
      </w:r>
      <w:r>
        <w:rPr>
          <w:rFonts w:hint="eastAsia" w:ascii="宋体" w:hAnsi="宋体" w:eastAsia="宋体" w:cs="宋体"/>
          <w:kern w:val="0"/>
          <w:sz w:val="24"/>
          <w:highlight w:val="none"/>
          <w:lang w:val="en-US" w:eastAsia="zh-CN"/>
        </w:rPr>
        <w:t>6</w:t>
      </w:r>
      <w:r>
        <w:rPr>
          <w:rFonts w:hint="eastAsia" w:ascii="宋体" w:hAnsi="宋体" w:eastAsia="宋体" w:cs="宋体"/>
          <w:kern w:val="0"/>
          <w:sz w:val="24"/>
          <w:highlight w:val="none"/>
        </w:rPr>
        <w:t>年</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时</w:t>
      </w:r>
      <w:r>
        <w:rPr>
          <w:rFonts w:hint="eastAsia" w:ascii="宋体" w:hAnsi="宋体" w:cs="宋体"/>
          <w:kern w:val="0"/>
          <w:sz w:val="24"/>
          <w:highlight w:val="none"/>
          <w:lang w:val="en-US" w:eastAsia="zh-CN"/>
        </w:rPr>
        <w:t>0</w:t>
      </w:r>
      <w:r>
        <w:rPr>
          <w:rFonts w:hint="eastAsia" w:ascii="宋体" w:hAnsi="宋体" w:eastAsia="宋体" w:cs="宋体"/>
          <w:kern w:val="0"/>
          <w:sz w:val="24"/>
          <w:highlight w:val="none"/>
        </w:rPr>
        <w:t>0分之前不准启封”字样。</w:t>
      </w:r>
    </w:p>
    <w:p w14:paraId="474EB03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val="en-US" w:eastAsia="zh-CN"/>
        </w:rPr>
        <w:t>14.</w:t>
      </w:r>
      <w:r>
        <w:rPr>
          <w:rFonts w:hint="eastAsia" w:ascii="宋体" w:hAnsi="宋体" w:cs="宋体"/>
          <w:kern w:val="0"/>
          <w:sz w:val="24"/>
          <w:highlight w:val="none"/>
          <w:lang w:val="en-US" w:eastAsia="zh-CN"/>
        </w:rPr>
        <w:t>3</w:t>
      </w:r>
      <w:r>
        <w:rPr>
          <w:rFonts w:hint="eastAsia" w:ascii="宋体" w:hAnsi="宋体" w:eastAsia="宋体" w:cs="宋体"/>
          <w:kern w:val="0"/>
          <w:sz w:val="24"/>
          <w:highlight w:val="none"/>
        </w:rPr>
        <w:t>如果供应商未按上述要求对响应文件密封及加写标记，采购人对供应商提前启封概不负责。对由此造成提前开封的响应文件，采购人有权予以拒绝，并退回供应商。</w:t>
      </w:r>
      <w:r>
        <w:rPr>
          <w:rFonts w:hint="eastAsia" w:ascii="宋体" w:hAnsi="宋体" w:eastAsia="宋体" w:cs="宋体"/>
          <w:kern w:val="0"/>
          <w:sz w:val="24"/>
          <w:highlight w:val="none"/>
          <w:lang w:eastAsia="zh-CN"/>
        </w:rPr>
        <w:t>”</w:t>
      </w:r>
    </w:p>
    <w:p w14:paraId="014C2A1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14.</w:t>
      </w:r>
      <w:r>
        <w:rPr>
          <w:rFonts w:hint="eastAsia" w:ascii="宋体" w:hAnsi="宋体" w:cs="宋体"/>
          <w:kern w:val="0"/>
          <w:sz w:val="24"/>
          <w:highlight w:val="none"/>
          <w:lang w:val="en-US" w:eastAsia="zh-CN"/>
        </w:rPr>
        <w:t>4</w:t>
      </w:r>
      <w:r>
        <w:rPr>
          <w:rFonts w:hint="eastAsia" w:ascii="宋体" w:hAnsi="宋体" w:eastAsia="宋体" w:cs="宋体"/>
          <w:kern w:val="0"/>
          <w:sz w:val="24"/>
          <w:highlight w:val="none"/>
          <w:lang w:val="en-US" w:eastAsia="zh-CN"/>
        </w:rPr>
        <w:t>响应文件正本和副本用A4幅面的纸张打印。响应文件应严格按照响应文件的要求提交，并按规定的统一格式逐项填写，不准有空项；无相应内容可填的项应填写“无”等明确的回答文字。因响应文件字迹潦草、模糊或表达不清所引起的不利后果由供应商承担。”</w:t>
      </w:r>
    </w:p>
    <w:p w14:paraId="53EAF20F">
      <w:pPr>
        <w:widowControl/>
        <w:spacing w:line="360" w:lineRule="auto"/>
        <w:ind w:firstLine="480" w:firstLineChars="200"/>
        <w:jc w:val="left"/>
        <w:rPr>
          <w:rFonts w:hint="eastAsia" w:ascii="宋体" w:hAnsi="宋体" w:eastAsia="宋体" w:cs="宋体"/>
          <w:kern w:val="0"/>
          <w:sz w:val="24"/>
          <w:highlight w:val="none"/>
          <w:lang w:val="en-US" w:eastAsia="zh-CN"/>
        </w:rPr>
      </w:pPr>
    </w:p>
    <w:p w14:paraId="2A5EF5CC">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四、 响应文件的递交</w:t>
      </w:r>
    </w:p>
    <w:p w14:paraId="1DA03473">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 xml:space="preserve">15.响应文件递交 </w:t>
      </w:r>
    </w:p>
    <w:p w14:paraId="77411AB4">
      <w:pPr>
        <w:keepNext w:val="0"/>
        <w:keepLines w:val="0"/>
        <w:pageBreakBefore w:val="0"/>
        <w:widowControl w:val="0"/>
        <w:kinsoku/>
        <w:wordWrap/>
        <w:overflowPunct/>
        <w:topLinePunct w:val="0"/>
        <w:bidi w:val="0"/>
        <w:adjustRightInd w:val="0"/>
        <w:snapToGrid/>
        <w:spacing w:line="44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 xml:space="preserve"> 15.1现场递交。</w:t>
      </w:r>
    </w:p>
    <w:p w14:paraId="08626425">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16.响应文件递交截止时间</w:t>
      </w:r>
    </w:p>
    <w:p w14:paraId="5A8E7436">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16.1递交的时间不得迟于磋商文件中规定的截止时间。</w:t>
      </w:r>
    </w:p>
    <w:p w14:paraId="00B25105">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16.2采购人可以按磋商文件规定，通过修改磋商文件自行决定酌情延长响应文件截止时间。在此情况下，磋商供应商的所有权利和义务以及受制的截止日期均应以延长后新的截止日期为准。</w:t>
      </w:r>
    </w:p>
    <w:p w14:paraId="701DEFE3">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17.迟交的响应文件</w:t>
      </w:r>
    </w:p>
    <w:p w14:paraId="10EA1F3F">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17.1采购人将拒绝并原封退回在响应文件递交截止时间后收到的任何响应文件。</w:t>
      </w:r>
    </w:p>
    <w:p w14:paraId="0C13916E">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18.响应文件的修改和撤回</w:t>
      </w:r>
    </w:p>
    <w:p w14:paraId="4135E5A2">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18.1磋商供应商在提交响应文件后，可对其进行修改或撤回其响应文件，但必须在规定的磋商开始时间前以书面形式送达指定地点，该通知必须由供应商法定代表人或其授权委托人签署。</w:t>
      </w:r>
    </w:p>
    <w:p w14:paraId="145E8ECA">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 xml:space="preserve"> 18.2磋商供应商不得在截止时间以后随意修改响应文件。</w:t>
      </w:r>
    </w:p>
    <w:p w14:paraId="2076F593">
      <w:pPr>
        <w:pStyle w:val="66"/>
        <w:ind w:firstLine="420"/>
        <w:rPr>
          <w:rFonts w:hint="eastAsia" w:ascii="宋体" w:hAnsi="宋体" w:eastAsia="宋体" w:cs="宋体"/>
        </w:rPr>
      </w:pPr>
    </w:p>
    <w:p w14:paraId="102672F2">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五、磋商推荐成交候选人</w:t>
      </w:r>
    </w:p>
    <w:p w14:paraId="296061C0">
      <w:pPr>
        <w:keepNext w:val="0"/>
        <w:keepLines w:val="0"/>
        <w:pageBreakBefore w:val="0"/>
        <w:kinsoku/>
        <w:wordWrap/>
        <w:overflowPunct/>
        <w:topLinePunct w:val="0"/>
        <w:autoSpaceDE/>
        <w:autoSpaceDN/>
        <w:bidi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19.磋商</w:t>
      </w:r>
    </w:p>
    <w:p w14:paraId="2B3AFA97">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4"/>
        </w:rPr>
        <w:t>19.1采购人或采购人委托的代理机构将在磋商公告中规定的时间和地点组织磋商，监管部门及有关部门可以视情况到现场监督磋商活动。</w:t>
      </w:r>
    </w:p>
    <w:p w14:paraId="3FA663F6">
      <w:pPr>
        <w:keepNext w:val="0"/>
        <w:keepLines w:val="0"/>
        <w:pageBreakBefore w:val="0"/>
        <w:kinsoku/>
        <w:wordWrap/>
        <w:overflowPunct/>
        <w:topLinePunct w:val="0"/>
        <w:autoSpaceDE/>
        <w:autoSpaceDN/>
        <w:bidi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20.磋商小组</w:t>
      </w:r>
    </w:p>
    <w:p w14:paraId="2638AC27">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20.1采购人将组织磋商小组与磋商供应商进行磋商。</w:t>
      </w:r>
    </w:p>
    <w:p w14:paraId="6905CB48">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20.2磋商小组是由行业专家、采购人代表三人及以上的单数组成。</w:t>
      </w:r>
    </w:p>
    <w:p w14:paraId="1B8D130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20.3磋商小组将独立工作，负责审议所有响应文件、集中与所有参加磋商的供应商单个进行磋商并向采购人推荐成交候选人。</w:t>
      </w:r>
    </w:p>
    <w:p w14:paraId="10E0D96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20.4磋商小组应对磋商供应商的商业、技术秘密予以保密。</w:t>
      </w:r>
    </w:p>
    <w:p w14:paraId="4CC7779D">
      <w:pPr>
        <w:keepNext w:val="0"/>
        <w:keepLines w:val="0"/>
        <w:pageBreakBefore w:val="0"/>
        <w:kinsoku/>
        <w:wordWrap/>
        <w:overflowPunct/>
        <w:topLinePunct w:val="0"/>
        <w:autoSpaceDE/>
        <w:autoSpaceDN/>
        <w:bidi w:val="0"/>
        <w:spacing w:line="440" w:lineRule="exact"/>
        <w:rPr>
          <w:rFonts w:hint="eastAsia" w:ascii="宋体" w:hAnsi="宋体" w:eastAsia="宋体" w:cs="宋体"/>
          <w:sz w:val="24"/>
        </w:rPr>
      </w:pPr>
      <w:r>
        <w:rPr>
          <w:rFonts w:hint="eastAsia" w:ascii="宋体" w:hAnsi="宋体" w:eastAsia="宋体" w:cs="宋体"/>
          <w:b/>
          <w:bCs/>
          <w:sz w:val="28"/>
          <w:szCs w:val="28"/>
        </w:rPr>
        <w:t>21.磋商程序</w:t>
      </w:r>
    </w:p>
    <w:p w14:paraId="476A47D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21.1响应文件的资格审查</w:t>
      </w:r>
    </w:p>
    <w:p w14:paraId="680B782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21.1.1磋商小组依法对磋商供应商的资格进行审查。</w:t>
      </w:r>
    </w:p>
    <w:p w14:paraId="3D3FD48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21.1.1.1资格性审查:依据法律法规和磋商文件的规定，对响应文件中的资格证明文件、磋商保证金等进行审查，以确定磋商供应商是否具备磋商资格。</w:t>
      </w:r>
    </w:p>
    <w:p w14:paraId="39A647A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21.1.1.2 响应文件有下列情况之一的，在资格性审查时按照无效响应文件处理:</w:t>
      </w:r>
    </w:p>
    <w:p w14:paraId="188D96B1">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（1）未按照磋商文件的规定交纳磋商保证金的；</w:t>
      </w:r>
    </w:p>
    <w:p w14:paraId="47D4E2AA">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（2）不具备磋商文件中规定的资格要求的；</w:t>
      </w:r>
    </w:p>
    <w:p w14:paraId="52A4B5F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（3）磋商供应商被“信用中国”网站（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www.creditchina.gov.cn</w:t>
      </w:r>
      <w:r>
        <w:rPr>
          <w:rFonts w:hint="eastAsia" w:ascii="宋体" w:hAnsi="宋体" w:eastAsia="宋体" w:cs="宋体"/>
          <w:sz w:val="24"/>
        </w:rPr>
        <w:fldChar w:fldCharType="end"/>
      </w:r>
      <w:r>
        <w:rPr>
          <w:rFonts w:hint="eastAsia" w:ascii="宋体" w:hAnsi="宋体" w:eastAsia="宋体" w:cs="宋体"/>
          <w:sz w:val="24"/>
        </w:rPr>
        <w:t>）列入失信被执行人或重大税收违法案件当事人名单或政府采购严重失信行为记录名单。</w:t>
      </w:r>
    </w:p>
    <w:p w14:paraId="0A85590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21.2响应文件的符合性审查</w:t>
      </w:r>
    </w:p>
    <w:p w14:paraId="682A859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21.2.1磋商小组对响应文件的有效性、完整性和对磋商文件的响应程度进行审查，以确定是否对磋商文件的实质性要求作出响应。</w:t>
      </w:r>
    </w:p>
    <w:p w14:paraId="7DFF5A3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p>
    <w:p w14:paraId="2133080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21.2.3如果响应文件没有实质上响应磋商文件的要求，磋商小组将予以拒绝。</w:t>
      </w:r>
    </w:p>
    <w:p w14:paraId="290684C4">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21.2.4磋商小组将对确定为实质性响应的响应文件进行进一步初审，看其是否有计算上或累加上的算术错误，修正原则如下:</w:t>
      </w:r>
    </w:p>
    <w:p w14:paraId="4AE4DC9B">
      <w:pPr>
        <w:pStyle w:val="44"/>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(一)投标文件中开标一览表(报价表)内容与投标文件中相应内容不一致的，以开标一览表(报价表)为准;</w:t>
      </w:r>
    </w:p>
    <w:p w14:paraId="686147CD">
      <w:pPr>
        <w:pStyle w:val="44"/>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(二)大写金额和小写金额不一致的，以大写金额为准;</w:t>
      </w:r>
    </w:p>
    <w:p w14:paraId="05F23E62">
      <w:pPr>
        <w:pStyle w:val="44"/>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(三)单价金额小数点或者百分比有明显错位的，以开标一览表的总价为准，并修改单价;</w:t>
      </w:r>
    </w:p>
    <w:p w14:paraId="4BB221E0">
      <w:pPr>
        <w:pStyle w:val="44"/>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(四)总价金额与按单价汇总金额不一致的，以单价金额计算结果为准。</w:t>
      </w:r>
    </w:p>
    <w:p w14:paraId="4C3513DD">
      <w:pPr>
        <w:pStyle w:val="44"/>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rPr>
      </w:pPr>
      <w:r>
        <w:rPr>
          <w:rFonts w:hint="eastAsia" w:ascii="宋体" w:hAnsi="宋体" w:eastAsia="宋体" w:cs="宋体"/>
          <w:kern w:val="2"/>
        </w:rPr>
        <w:t>同时出现两种以上不一致的，按照前款规定的顺序修正。修正后的报价按照财政部87号令第五十一条第二款的规定经投标人确认后产生约束力，投标人不确认的，其投标无效。</w:t>
      </w:r>
    </w:p>
    <w:p w14:paraId="402C47F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21.3由磋商小组成员集中与单一磋商供应商分别进行磋商，磋商可以是多轮次进行。</w:t>
      </w:r>
    </w:p>
    <w:p w14:paraId="2DA8AAF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21.4磋商过程中，磋商小组根据磋商文件和磋商情况可能实质性变动采购需求中的技术、服务要求以及合同草案条款。实质性变动是磋商文件的有效组成部分，磋商小组将以书面形式通知所有参加磋商的供应商。</w:t>
      </w:r>
    </w:p>
    <w:p w14:paraId="6B7E8C9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21.5磋商中，磋商的任何一方不得透露与磋商有关的其他参加磋商供应商的技术资料、价格和其他信息。如果参加磋商供应商试图向采购中心和磋商小组人员施加任何影响，都将会导致其磋商被拒绝。</w:t>
      </w:r>
    </w:p>
    <w:p w14:paraId="522C345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21.6响应文件的澄清</w:t>
      </w:r>
    </w:p>
    <w:p w14:paraId="45AD72F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21.6.1在磋商期间，为有助于对响应文件的审查、评价和比较，磋商小组有权要求磋商供应商对其响应文件中含义不明确、同类问题表述不一致或者有明显文字和计算错误的内容进行澄清。但并非对每个磋商供应商都作澄清要求。</w:t>
      </w:r>
    </w:p>
    <w:p w14:paraId="0230DCD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21.6.2接到磋商小组澄清要求的磋商供应商应派人按磋商小组通知的时间和地点做出书面澄清，书面答复必须由磋商供应商法定代表人或其委托受托人签署，并作为响应文件的补充。</w:t>
      </w:r>
    </w:p>
    <w:p w14:paraId="1168B06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21.6.3接到磋商小组澄清要求的磋商供应商如未按第21.6.2条的规定做出澄清，将视为放弃该权利。</w:t>
      </w:r>
    </w:p>
    <w:p w14:paraId="5A56529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21.7工作人员按照磋商的顺序，组织磋商供应商进行两轮次的磋商报价。供应商单独准备投标函（或竞争性磋商函）在第二轮报价时填写（第二轮报价不能高于第一轮否则报价无效）。最终报价在第一轮明细报价基础上作同比例让利（不可竞争费用除外）。</w:t>
      </w:r>
    </w:p>
    <w:p w14:paraId="7C57DA71">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.8异常低价投标审查</w:t>
      </w:r>
    </w:p>
    <w:p w14:paraId="25F4C2CE">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 xml:space="preserve">.8 </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磋商小组认为</w:t>
      </w:r>
      <w:r>
        <w:rPr>
          <w:rFonts w:hint="eastAsia" w:ascii="宋体" w:hAnsi="宋体" w:eastAsia="宋体" w:cs="宋体"/>
          <w:color w:val="auto"/>
          <w:sz w:val="24"/>
          <w:lang w:val="en-US" w:eastAsia="zh-CN"/>
        </w:rPr>
        <w:t>供应商</w:t>
      </w:r>
      <w:r>
        <w:rPr>
          <w:rFonts w:hint="eastAsia" w:ascii="宋体" w:hAnsi="宋体" w:eastAsia="宋体" w:cs="宋体"/>
          <w:color w:val="auto"/>
          <w:sz w:val="24"/>
          <w:lang w:eastAsia="zh-CN"/>
        </w:rPr>
        <w:t>的报价属于《关于推动解决政府采购异常低价问题相关工作的通知》(苏财购(2026)</w:t>
      </w:r>
      <w:r>
        <w:rPr>
          <w:rFonts w:hint="eastAsia" w:ascii="宋体" w:hAnsi="宋体" w:eastAsia="宋体" w:cs="宋体"/>
          <w:color w:val="auto"/>
          <w:sz w:val="24"/>
          <w:lang w:val="en-US" w:eastAsia="zh-CN"/>
        </w:rPr>
        <w:t>36</w:t>
      </w:r>
      <w:r>
        <w:rPr>
          <w:rFonts w:hint="eastAsia" w:ascii="宋体" w:hAnsi="宋体" w:eastAsia="宋体" w:cs="宋体"/>
          <w:color w:val="auto"/>
          <w:sz w:val="24"/>
          <w:lang w:eastAsia="zh-CN"/>
        </w:rPr>
        <w:t>号)异常低价情形的，按照苏财购(2026)</w:t>
      </w:r>
      <w:r>
        <w:rPr>
          <w:rFonts w:hint="eastAsia" w:ascii="宋体" w:hAnsi="宋体" w:eastAsia="宋体" w:cs="宋体"/>
          <w:color w:val="auto"/>
          <w:sz w:val="24"/>
          <w:lang w:val="en-US" w:eastAsia="zh-CN"/>
        </w:rPr>
        <w:t>36</w:t>
      </w:r>
      <w:r>
        <w:rPr>
          <w:rFonts w:hint="eastAsia" w:ascii="宋体" w:hAnsi="宋体" w:eastAsia="宋体" w:cs="宋体"/>
          <w:color w:val="auto"/>
          <w:sz w:val="24"/>
          <w:lang w:eastAsia="zh-CN"/>
        </w:rPr>
        <w:t>号文件要求启动异常低价投标审查程序，要求其在合理的时间内提供说明</w:t>
      </w:r>
      <w:r>
        <w:rPr>
          <w:rFonts w:hint="eastAsia" w:ascii="宋体" w:hAnsi="宋体" w:eastAsia="宋体" w:cs="宋体"/>
          <w:color w:val="auto"/>
          <w:sz w:val="24"/>
          <w:lang w:val="en-US" w:eastAsia="zh-CN"/>
        </w:rPr>
        <w:t>及</w:t>
      </w:r>
      <w:r>
        <w:rPr>
          <w:rFonts w:hint="eastAsia" w:ascii="宋体" w:hAnsi="宋体" w:eastAsia="宋体" w:cs="宋体"/>
          <w:color w:val="auto"/>
          <w:sz w:val="24"/>
          <w:lang w:eastAsia="zh-CN"/>
        </w:rPr>
        <w:t>相关证明材料:</w:t>
      </w:r>
      <w:r>
        <w:rPr>
          <w:rFonts w:hint="eastAsia" w:ascii="宋体" w:hAnsi="宋体" w:eastAsia="宋体" w:cs="宋体"/>
          <w:color w:val="auto"/>
          <w:sz w:val="24"/>
          <w:lang w:val="en-US" w:eastAsia="zh-CN"/>
        </w:rPr>
        <w:t>供应商</w:t>
      </w:r>
      <w:r>
        <w:rPr>
          <w:rFonts w:hint="eastAsia" w:ascii="宋体" w:hAnsi="宋体" w:eastAsia="宋体" w:cs="宋体"/>
          <w:color w:val="auto"/>
          <w:sz w:val="24"/>
          <w:lang w:eastAsia="zh-CN"/>
        </w:rPr>
        <w:t>不能证明其报价合理性的，评标委员会应当将其作为无效投标处理</w:t>
      </w:r>
      <w:r>
        <w:rPr>
          <w:rFonts w:hint="eastAsia" w:ascii="宋体" w:hAnsi="宋体" w:eastAsia="宋体" w:cs="宋体"/>
          <w:color w:val="auto"/>
          <w:sz w:val="24"/>
        </w:rPr>
        <w:t>。</w:t>
      </w:r>
    </w:p>
    <w:p w14:paraId="792658D7">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.2</w:t>
      </w:r>
      <w:r>
        <w:rPr>
          <w:rFonts w:hint="eastAsia" w:ascii="宋体" w:hAnsi="宋体" w:eastAsia="宋体" w:cs="宋体"/>
          <w:color w:val="auto"/>
          <w:sz w:val="24"/>
        </w:rPr>
        <w:t>评</w:t>
      </w:r>
      <w:r>
        <w:rPr>
          <w:rFonts w:hint="eastAsia" w:ascii="宋体" w:hAnsi="宋体" w:eastAsia="宋体" w:cs="宋体"/>
          <w:color w:val="auto"/>
          <w:sz w:val="24"/>
          <w:lang w:val="en-US" w:eastAsia="zh-CN"/>
        </w:rPr>
        <w:t>标</w:t>
      </w:r>
      <w:r>
        <w:rPr>
          <w:rFonts w:hint="eastAsia" w:ascii="宋体" w:hAnsi="宋体" w:eastAsia="宋体" w:cs="宋体"/>
          <w:color w:val="auto"/>
          <w:sz w:val="24"/>
        </w:rPr>
        <w:t>中出现下列情形之一的，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审查程序</w:t>
      </w:r>
      <w:r>
        <w:rPr>
          <w:rFonts w:hint="eastAsia" w:ascii="宋体" w:hAnsi="宋体" w:eastAsia="宋体" w:cs="宋体"/>
          <w:color w:val="auto"/>
          <w:sz w:val="24"/>
          <w:lang w:eastAsia="zh-CN"/>
        </w:rPr>
        <w:t>：</w:t>
      </w:r>
    </w:p>
    <w:p w14:paraId="08820391">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rPr>
        <w:t>投标（响应）报价低于全部通过符合性审查供应商投标（响应）报价平均值50%的，即投标（响应）报价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全部通过符合性审查供应商投标（响应）报价平均值×50%;</w:t>
      </w:r>
    </w:p>
    <w:p w14:paraId="3FA61AC2">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投标（响应）报价低于通过符合性审查的次低报价供应商投标（响应）报价50%的，即投标（响应）报价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通过符合性审查的次低报价供应商投标（响应）报价X50%;</w:t>
      </w:r>
    </w:p>
    <w:p w14:paraId="67390E5D">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投标（响应）报价低于采购项目最高限价45%的，即投标（响应）报价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采购项目最高限价X45%;</w:t>
      </w:r>
    </w:p>
    <w:p w14:paraId="6C84AAAB">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）磋商小组</w:t>
      </w:r>
      <w:r>
        <w:rPr>
          <w:rFonts w:hint="eastAsia" w:ascii="宋体" w:hAnsi="宋体" w:eastAsia="宋体" w:cs="宋体"/>
          <w:color w:val="auto"/>
          <w:sz w:val="24"/>
        </w:rPr>
        <w:t>基于专业判断，认为供应商报价过低，有可能影响产品质量或者不能诚信履约的其他情形。</w:t>
      </w:r>
    </w:p>
    <w:p w14:paraId="4547502E">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采购人可以结合具体项目实际情况，提高上述第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项中启动异常低价投标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审查的数值标准，但是最高不得超过65%。</w:t>
      </w:r>
    </w:p>
    <w:p w14:paraId="0A2985AA">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相关法律法规对供应商报价有规定的，从其规定。</w:t>
      </w:r>
    </w:p>
    <w:p w14:paraId="59C0486A">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磋商小组</w:t>
      </w:r>
      <w:r>
        <w:rPr>
          <w:rFonts w:hint="eastAsia" w:ascii="宋体" w:hAnsi="宋体" w:eastAsia="宋体" w:cs="宋体"/>
          <w:color w:val="auto"/>
          <w:sz w:val="24"/>
        </w:rPr>
        <w:t>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审查后，属于前述第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项情形的，应当要求相关供应商在评审现场合理的时间内对投标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文件一并提交相关书面说明及必要的证明材料的，在评审现场可不再重复提交。</w:t>
      </w:r>
    </w:p>
    <w:p w14:paraId="6799172E">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磋商小组</w:t>
      </w:r>
      <w:r>
        <w:rPr>
          <w:rFonts w:hint="eastAsia" w:ascii="宋体" w:hAnsi="宋体" w:eastAsia="宋体" w:cs="宋体"/>
          <w:color w:val="auto"/>
          <w:sz w:val="24"/>
        </w:rPr>
        <w:t>依据专业经验，参考同类项目中标</w:t>
      </w:r>
      <w:r>
        <w:rPr>
          <w:rFonts w:hint="eastAsia" w:ascii="宋体" w:hAnsi="宋体" w:eastAsia="宋体" w:cs="宋体"/>
          <w:color w:val="auto"/>
          <w:sz w:val="24"/>
          <w:lang w:eastAsia="zh-CN"/>
        </w:rPr>
        <w:t>（</w:t>
      </w:r>
      <w:r>
        <w:rPr>
          <w:rFonts w:hint="eastAsia" w:ascii="宋体" w:hAnsi="宋体" w:eastAsia="宋体" w:cs="宋体"/>
          <w:color w:val="auto"/>
          <w:sz w:val="24"/>
        </w:rPr>
        <w:t>成交</w:t>
      </w:r>
      <w:r>
        <w:rPr>
          <w:rFonts w:hint="eastAsia" w:ascii="宋体" w:hAnsi="宋体" w:eastAsia="宋体" w:cs="宋体"/>
          <w:color w:val="auto"/>
          <w:sz w:val="24"/>
          <w:lang w:eastAsia="zh-CN"/>
        </w:rPr>
        <w:t>）</w:t>
      </w:r>
      <w:r>
        <w:rPr>
          <w:rFonts w:hint="eastAsia" w:ascii="宋体" w:hAnsi="宋体" w:eastAsia="宋体" w:cs="宋体"/>
          <w:color w:val="auto"/>
          <w:sz w:val="24"/>
        </w:rPr>
        <w:t>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供应商不能提供书面说明、证明材料，或者提供的书面说明、证明材料不能证明其报价合理性的，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应当将其作为无效投标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处理。</w:t>
      </w:r>
    </w:p>
    <w:p w14:paraId="19ACC04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22.当出现下列任一情况，作无效响应文件处理：</w:t>
      </w:r>
    </w:p>
    <w:p w14:paraId="62A6C24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22.1未按照磋商文件的规定提交磋商保证金的；</w:t>
      </w:r>
    </w:p>
    <w:p w14:paraId="0D9598A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22.2未按照磋商文件规定要求签署、盖章的；</w:t>
      </w:r>
    </w:p>
    <w:p w14:paraId="49675E3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22.3不具备磋商文件中规定的资格要求的；</w:t>
      </w:r>
    </w:p>
    <w:p w14:paraId="0EDD2864">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22.4报价超过磋商文件中规定的预算金额或者最高限价的；</w:t>
      </w:r>
    </w:p>
    <w:p w14:paraId="56EB749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22.5响应文件含有采购人不能接受的附加条件的；</w:t>
      </w:r>
    </w:p>
    <w:p w14:paraId="701B067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22.6经磋商，磋商供应商仍不承诺满足磋商文件要求的；</w:t>
      </w:r>
    </w:p>
    <w:p w14:paraId="416128E2">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22.7经查实提供虚假材料谋取成交的；</w:t>
      </w:r>
    </w:p>
    <w:p w14:paraId="6BDB59E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22.8法律、法规和磋商文件中规定的其他无效情形的；</w:t>
      </w:r>
    </w:p>
    <w:p w14:paraId="271D7040">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22.11在磋商采购中，出现下列情形之一的，应予终止磋商：</w:t>
      </w:r>
    </w:p>
    <w:p w14:paraId="6AAB43E9">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（1）出现影响采购公正的违法、违规行为的；</w:t>
      </w:r>
    </w:p>
    <w:p w14:paraId="53F1C008">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（2）磋商供应商的报价均超过了采购预算，采购人不能支付的；</w:t>
      </w:r>
    </w:p>
    <w:p w14:paraId="2F2DB269">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（3）因重大变故，采购任务取消的。</w:t>
      </w:r>
    </w:p>
    <w:p w14:paraId="7528AA8C">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磋商终止后，采购人应当将磋商终止的理由通知所有磋商供应商。在特殊情况下，采购人有权在向政府采购监督管理部门申请批准的情况下，与两家或一家磋商供应商进行磋商。</w:t>
      </w:r>
    </w:p>
    <w:p w14:paraId="2735164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b/>
          <w:bCs/>
          <w:sz w:val="28"/>
          <w:szCs w:val="28"/>
        </w:rPr>
      </w:pPr>
      <w:r>
        <w:rPr>
          <w:rFonts w:hint="eastAsia" w:ascii="宋体" w:hAnsi="宋体" w:eastAsia="宋体" w:cs="宋体"/>
          <w:b/>
          <w:bCs/>
          <w:sz w:val="28"/>
          <w:szCs w:val="28"/>
        </w:rPr>
        <w:t>23.特殊情况处理</w:t>
      </w:r>
    </w:p>
    <w:p w14:paraId="7166B968">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23.1磋商活动无法正常进行时经采购人同意延期开标。</w:t>
      </w:r>
    </w:p>
    <w:p w14:paraId="76278568">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23.2截止时间递交响应文件投标单位不足3家，招标人重新招标。</w:t>
      </w:r>
    </w:p>
    <w:p w14:paraId="4C776C69">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23.3经评审后有效标书不足3家，招标人重新招标。</w:t>
      </w:r>
    </w:p>
    <w:p w14:paraId="288B5CBC">
      <w:pPr>
        <w:keepNext w:val="0"/>
        <w:keepLines w:val="0"/>
        <w:pageBreakBefore w:val="0"/>
        <w:numPr>
          <w:ilvl w:val="0"/>
          <w:numId w:val="4"/>
        </w:numPr>
        <w:kinsoku/>
        <w:wordWrap/>
        <w:overflowPunct/>
        <w:topLinePunct w:val="0"/>
        <w:autoSpaceDE/>
        <w:autoSpaceDN/>
        <w:bidi w:val="0"/>
        <w:spacing w:line="440" w:lineRule="exact"/>
        <w:ind w:left="645" w:leftChars="0" w:firstLine="0" w:firstLineChars="0"/>
        <w:rPr>
          <w:rFonts w:hint="eastAsia" w:ascii="宋体" w:hAnsi="宋体" w:eastAsia="宋体" w:cs="宋体"/>
          <w:b/>
          <w:bCs/>
          <w:sz w:val="28"/>
          <w:szCs w:val="28"/>
        </w:rPr>
      </w:pPr>
      <w:r>
        <w:rPr>
          <w:rFonts w:hint="eastAsia" w:ascii="宋体" w:hAnsi="宋体" w:eastAsia="宋体" w:cs="宋体"/>
          <w:b/>
          <w:bCs/>
          <w:sz w:val="28"/>
          <w:szCs w:val="28"/>
        </w:rPr>
        <w:t>推荐成交候选人</w:t>
      </w:r>
    </w:p>
    <w:p w14:paraId="16C2CF93">
      <w:pPr>
        <w:keepNext w:val="0"/>
        <w:keepLines w:val="0"/>
        <w:pageBreakBefore w:val="0"/>
        <w:numPr>
          <w:ilvl w:val="0"/>
          <w:numId w:val="0"/>
        </w:numPr>
        <w:kinsoku/>
        <w:wordWrap/>
        <w:overflowPunct/>
        <w:topLinePunct w:val="0"/>
        <w:autoSpaceDE/>
        <w:autoSpaceDN/>
        <w:bidi w:val="0"/>
        <w:spacing w:line="440" w:lineRule="exact"/>
        <w:ind w:left="645" w:leftChars="0"/>
        <w:rPr>
          <w:rFonts w:hint="eastAsia" w:ascii="宋体" w:hAnsi="宋体" w:eastAsia="宋体" w:cs="宋体"/>
          <w:sz w:val="24"/>
        </w:rPr>
      </w:pPr>
      <w:r>
        <w:rPr>
          <w:rFonts w:hint="eastAsia" w:ascii="宋体" w:hAnsi="宋体" w:eastAsia="宋体" w:cs="宋体"/>
          <w:sz w:val="24"/>
        </w:rPr>
        <w:t>24.1磋商小组仅对确定为实质上响应磋商文件要求的响应文件进行评价和比较。</w:t>
      </w:r>
    </w:p>
    <w:p w14:paraId="75DD5F3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24.2磋商小组在推荐成交候选人时将考虑以下因素:</w:t>
      </w:r>
    </w:p>
    <w:p w14:paraId="467B7768">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（1）磋商标的的磋商最终报价；</w:t>
      </w:r>
    </w:p>
    <w:p w14:paraId="3EB1C2BD">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（2）方案编制的质量；</w:t>
      </w:r>
    </w:p>
    <w:p w14:paraId="62CFB796">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（3）参加磋商供应商承诺的售后服务等。</w:t>
      </w:r>
    </w:p>
    <w:p w14:paraId="65534BC7">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 磋商小组仅对确定为实质上响应磋商文件要求的响应文件进行评价和比较。由磋商小组采用综合评分法对提交的响应文件进行综合评分。</w:t>
      </w:r>
    </w:p>
    <w:p w14:paraId="72884F0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24.3.1本次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审方法。最后按得分由高到低的顺序推荐3个候选的成交供应商，并编写评审报告。</w:t>
      </w:r>
    </w:p>
    <w:p w14:paraId="6F785801">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24.3.2磋商小组将依据下列评分细则进行评标（总分值:100分）：投标报价得分保留小数点后两位，小数点后第三位四舍五入。</w:t>
      </w:r>
    </w:p>
    <w:p w14:paraId="3E3B5418">
      <w:pPr>
        <w:ind w:firstLine="2249" w:firstLineChars="800"/>
        <w:jc w:val="left"/>
        <w:rPr>
          <w:rFonts w:hint="eastAsia" w:ascii="宋体" w:hAnsi="宋体" w:eastAsia="宋体" w:cs="宋体"/>
          <w:b/>
          <w:color w:val="000000"/>
          <w:sz w:val="28"/>
          <w:szCs w:val="28"/>
        </w:rPr>
      </w:pPr>
    </w:p>
    <w:p w14:paraId="1774D4D7">
      <w:pPr>
        <w:ind w:firstLine="2249" w:firstLineChars="800"/>
        <w:jc w:val="left"/>
        <w:rPr>
          <w:rFonts w:hint="eastAsia" w:ascii="宋体" w:hAnsi="宋体" w:eastAsia="宋体" w:cs="宋体"/>
          <w:b/>
          <w:color w:val="000000"/>
          <w:sz w:val="28"/>
          <w:szCs w:val="28"/>
        </w:rPr>
      </w:pPr>
    </w:p>
    <w:p w14:paraId="3C4B2B85">
      <w:pPr>
        <w:jc w:val="left"/>
        <w:rPr>
          <w:rFonts w:hint="eastAsia" w:ascii="宋体" w:hAnsi="宋体" w:eastAsia="宋体" w:cs="宋体"/>
          <w:b/>
          <w:color w:val="000000"/>
          <w:sz w:val="28"/>
          <w:szCs w:val="28"/>
        </w:rPr>
      </w:pPr>
    </w:p>
    <w:p w14:paraId="668DCC08">
      <w:pPr>
        <w:ind w:firstLine="2249" w:firstLineChars="800"/>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综合评审因素和评分标准评分办法</w:t>
      </w:r>
    </w:p>
    <w:p w14:paraId="525B592B">
      <w:pPr>
        <w:keepNext w:val="0"/>
        <w:keepLines w:val="0"/>
        <w:pageBreakBefore w:val="0"/>
        <w:widowControl w:val="0"/>
        <w:kinsoku/>
        <w:wordWrap/>
        <w:overflowPunct/>
        <w:topLinePunct w:val="0"/>
        <w:autoSpaceDE/>
        <w:autoSpaceDN/>
        <w:bidi w:val="0"/>
        <w:adjustRightInd/>
        <w:snapToGrid/>
        <w:spacing w:line="440" w:lineRule="exact"/>
        <w:ind w:firstLine="539"/>
        <w:textAlignment w:val="auto"/>
        <w:rPr>
          <w:rFonts w:hint="eastAsia" w:ascii="宋体" w:hAnsi="宋体" w:eastAsia="宋体" w:cs="宋体"/>
          <w:sz w:val="24"/>
        </w:rPr>
      </w:pPr>
      <w:r>
        <w:rPr>
          <w:rFonts w:hint="eastAsia" w:ascii="宋体" w:hAnsi="宋体" w:eastAsia="宋体" w:cs="宋体"/>
          <w:sz w:val="24"/>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p w14:paraId="447277D5">
      <w:pPr>
        <w:keepNext w:val="0"/>
        <w:keepLines w:val="0"/>
        <w:pageBreakBefore w:val="0"/>
        <w:widowControl w:val="0"/>
        <w:kinsoku/>
        <w:wordWrap/>
        <w:overflowPunct/>
        <w:topLinePunct w:val="0"/>
        <w:autoSpaceDE/>
        <w:autoSpaceDN/>
        <w:bidi w:val="0"/>
        <w:adjustRightInd/>
        <w:snapToGrid/>
        <w:spacing w:line="440" w:lineRule="exact"/>
        <w:ind w:firstLine="539"/>
        <w:textAlignment w:val="auto"/>
        <w:rPr>
          <w:rFonts w:hint="eastAsia" w:ascii="宋体" w:hAnsi="宋体" w:eastAsia="宋体" w:cs="宋体"/>
          <w:sz w:val="24"/>
        </w:rPr>
      </w:pPr>
      <w:r>
        <w:rPr>
          <w:rFonts w:hint="eastAsia" w:ascii="宋体" w:hAnsi="宋体" w:eastAsia="宋体" w:cs="宋体"/>
          <w:sz w:val="24"/>
        </w:rPr>
        <w:t>1、初步评审。磋商小组首先按照下列指标对各供应商进行初步评审，未通过评审的为无效标，不再参与评审。</w:t>
      </w:r>
    </w:p>
    <w:p w14:paraId="44A12AA8">
      <w:pPr>
        <w:keepNext w:val="0"/>
        <w:keepLines w:val="0"/>
        <w:pageBreakBefore w:val="0"/>
        <w:widowControl w:val="0"/>
        <w:kinsoku/>
        <w:wordWrap/>
        <w:overflowPunct/>
        <w:topLinePunct w:val="0"/>
        <w:autoSpaceDE/>
        <w:autoSpaceDN/>
        <w:bidi w:val="0"/>
        <w:adjustRightInd/>
        <w:snapToGrid/>
        <w:spacing w:line="440" w:lineRule="exact"/>
        <w:ind w:firstLine="539"/>
        <w:textAlignment w:val="auto"/>
        <w:rPr>
          <w:rFonts w:hint="eastAsia" w:ascii="宋体" w:hAnsi="宋体" w:eastAsia="宋体" w:cs="宋体"/>
          <w:sz w:val="24"/>
        </w:rPr>
      </w:pPr>
      <w:bookmarkStart w:id="33" w:name="EB1a5d8b2c3833482f95a1f101c76adb9d"/>
      <w:bookmarkEnd w:id="33"/>
      <w:r>
        <w:rPr>
          <w:rFonts w:hint="eastAsia" w:ascii="宋体" w:hAnsi="宋体" w:eastAsia="宋体" w:cs="宋体"/>
          <w:sz w:val="24"/>
        </w:rPr>
        <w:t>2、详细评审:磋商小组按照竞争性磋商文件规定的评分标准，对各响应文件进行详细评审打分。磋商小组组长对各评审专家的打分情况进行复核无误后汇总。</w:t>
      </w:r>
    </w:p>
    <w:p w14:paraId="37EEE430">
      <w:pPr>
        <w:keepNext w:val="0"/>
        <w:keepLines w:val="0"/>
        <w:pageBreakBefore w:val="0"/>
        <w:widowControl w:val="0"/>
        <w:kinsoku/>
        <w:wordWrap/>
        <w:overflowPunct/>
        <w:topLinePunct w:val="0"/>
        <w:autoSpaceDE/>
        <w:autoSpaceDN/>
        <w:bidi w:val="0"/>
        <w:adjustRightInd/>
        <w:snapToGrid/>
        <w:spacing w:line="440" w:lineRule="exact"/>
        <w:ind w:firstLine="539"/>
        <w:textAlignment w:val="auto"/>
        <w:rPr>
          <w:rFonts w:hint="eastAsia" w:ascii="宋体" w:hAnsi="宋体" w:eastAsia="宋体" w:cs="宋体"/>
          <w:sz w:val="24"/>
        </w:rPr>
      </w:pPr>
      <w:r>
        <w:rPr>
          <w:rFonts w:hint="eastAsia" w:ascii="宋体" w:hAnsi="宋体" w:eastAsia="宋体" w:cs="宋体"/>
          <w:sz w:val="24"/>
        </w:rPr>
        <w:t>注：在本项评分标准中材料提供复印件的，投标人须保证复印件与原件保持一致，并加盖投标人公章。中标后，采购单位有权对原件进行进一步核实。</w:t>
      </w:r>
    </w:p>
    <w:tbl>
      <w:tblPr>
        <w:tblStyle w:val="48"/>
        <w:tblpPr w:leftFromText="180" w:rightFromText="180" w:vertAnchor="text" w:horzAnchor="page" w:tblpX="1230" w:tblpY="441"/>
        <w:tblOverlap w:val="never"/>
        <w:tblW w:w="5094" w:type="pct"/>
        <w:tblInd w:w="0" w:type="dxa"/>
        <w:tblLayout w:type="autofit"/>
        <w:tblCellMar>
          <w:top w:w="0" w:type="dxa"/>
          <w:left w:w="108" w:type="dxa"/>
          <w:bottom w:w="0" w:type="dxa"/>
          <w:right w:w="108" w:type="dxa"/>
        </w:tblCellMar>
      </w:tblPr>
      <w:tblGrid>
        <w:gridCol w:w="757"/>
        <w:gridCol w:w="1408"/>
        <w:gridCol w:w="6160"/>
        <w:gridCol w:w="1136"/>
      </w:tblGrid>
      <w:tr w14:paraId="71D54B39">
        <w:tblPrEx>
          <w:tblCellMar>
            <w:top w:w="0" w:type="dxa"/>
            <w:left w:w="108" w:type="dxa"/>
            <w:bottom w:w="0" w:type="dxa"/>
            <w:right w:w="108" w:type="dxa"/>
          </w:tblCellMar>
        </w:tblPrEx>
        <w:trPr>
          <w:trHeight w:val="620" w:hRule="atLeast"/>
        </w:trPr>
        <w:tc>
          <w:tcPr>
            <w:tcW w:w="400" w:type="pct"/>
            <w:tcBorders>
              <w:top w:val="single" w:color="000000" w:sz="4" w:space="0"/>
              <w:left w:val="single" w:color="000000" w:sz="4" w:space="0"/>
              <w:bottom w:val="single" w:color="000000" w:sz="4" w:space="0"/>
              <w:right w:val="single" w:color="000000" w:sz="4" w:space="0"/>
            </w:tcBorders>
            <w:vAlign w:val="center"/>
          </w:tcPr>
          <w:p w14:paraId="250EF534">
            <w:pPr>
              <w:widowControl/>
              <w:adjustRightInd w:val="0"/>
              <w:snapToGrid w:val="0"/>
              <w:spacing w:after="200" w:line="220" w:lineRule="atLeast"/>
              <w:jc w:val="center"/>
              <w:textAlignment w:val="center"/>
              <w:rPr>
                <w:rFonts w:ascii="宋体" w:hAnsi="宋体"/>
                <w:b/>
                <w:bCs/>
                <w:color w:val="333333"/>
                <w:kern w:val="0"/>
                <w:sz w:val="24"/>
                <w:szCs w:val="24"/>
              </w:rPr>
            </w:pPr>
            <w:r>
              <w:rPr>
                <w:rFonts w:hint="eastAsia" w:ascii="宋体" w:hAnsi="宋体"/>
                <w:b/>
                <w:bCs/>
                <w:color w:val="333333"/>
                <w:kern w:val="0"/>
                <w:sz w:val="24"/>
                <w:szCs w:val="24"/>
              </w:rPr>
              <w:t>序号</w:t>
            </w:r>
          </w:p>
        </w:tc>
        <w:tc>
          <w:tcPr>
            <w:tcW w:w="744" w:type="pct"/>
            <w:tcBorders>
              <w:top w:val="single" w:color="000000" w:sz="4" w:space="0"/>
              <w:left w:val="single" w:color="000000" w:sz="4" w:space="0"/>
              <w:bottom w:val="single" w:color="000000" w:sz="4" w:space="0"/>
              <w:right w:val="single" w:color="000000" w:sz="4" w:space="0"/>
            </w:tcBorders>
            <w:vAlign w:val="center"/>
          </w:tcPr>
          <w:p w14:paraId="2B3CD8A4">
            <w:pPr>
              <w:widowControl/>
              <w:adjustRightInd w:val="0"/>
              <w:snapToGrid w:val="0"/>
              <w:spacing w:after="200" w:line="220" w:lineRule="atLeast"/>
              <w:jc w:val="left"/>
              <w:textAlignment w:val="center"/>
              <w:rPr>
                <w:rFonts w:ascii="宋体" w:hAnsi="宋体"/>
                <w:b/>
                <w:bCs/>
                <w:color w:val="333333"/>
                <w:kern w:val="0"/>
                <w:sz w:val="24"/>
                <w:szCs w:val="24"/>
              </w:rPr>
            </w:pPr>
            <w:r>
              <w:rPr>
                <w:rFonts w:hint="eastAsia" w:ascii="宋体" w:hAnsi="宋体"/>
                <w:b/>
                <w:bCs/>
                <w:color w:val="333333"/>
                <w:kern w:val="0"/>
                <w:sz w:val="24"/>
                <w:szCs w:val="24"/>
              </w:rPr>
              <w:t>评审项目</w:t>
            </w:r>
          </w:p>
        </w:tc>
        <w:tc>
          <w:tcPr>
            <w:tcW w:w="3255" w:type="pct"/>
            <w:tcBorders>
              <w:top w:val="single" w:color="000000" w:sz="4" w:space="0"/>
              <w:left w:val="single" w:color="000000" w:sz="4" w:space="0"/>
              <w:bottom w:val="single" w:color="000000" w:sz="4" w:space="0"/>
              <w:right w:val="single" w:color="000000" w:sz="4" w:space="0"/>
            </w:tcBorders>
            <w:vAlign w:val="center"/>
          </w:tcPr>
          <w:p w14:paraId="23D3E414">
            <w:pPr>
              <w:widowControl/>
              <w:adjustRightInd w:val="0"/>
              <w:snapToGrid w:val="0"/>
              <w:spacing w:after="200" w:line="220" w:lineRule="atLeast"/>
              <w:ind w:firstLine="482" w:firstLineChars="200"/>
              <w:jc w:val="center"/>
              <w:textAlignment w:val="center"/>
              <w:rPr>
                <w:rFonts w:ascii="宋体" w:hAnsi="宋体"/>
                <w:b/>
                <w:bCs/>
                <w:color w:val="333333"/>
                <w:kern w:val="0"/>
                <w:sz w:val="24"/>
                <w:szCs w:val="24"/>
              </w:rPr>
            </w:pPr>
            <w:r>
              <w:rPr>
                <w:rFonts w:hint="eastAsia" w:ascii="宋体" w:hAnsi="宋体"/>
                <w:b/>
                <w:bCs/>
                <w:color w:val="333333"/>
                <w:kern w:val="0"/>
                <w:sz w:val="24"/>
                <w:szCs w:val="24"/>
              </w:rPr>
              <w:t>评 审 标 准</w:t>
            </w:r>
          </w:p>
        </w:tc>
        <w:tc>
          <w:tcPr>
            <w:tcW w:w="600" w:type="pct"/>
            <w:tcBorders>
              <w:top w:val="single" w:color="000000" w:sz="4" w:space="0"/>
              <w:left w:val="single" w:color="000000" w:sz="4" w:space="0"/>
              <w:bottom w:val="single" w:color="000000" w:sz="4" w:space="0"/>
              <w:right w:val="single" w:color="000000" w:sz="4" w:space="0"/>
            </w:tcBorders>
            <w:vAlign w:val="center"/>
          </w:tcPr>
          <w:p w14:paraId="61F22331">
            <w:pPr>
              <w:widowControl/>
              <w:adjustRightInd w:val="0"/>
              <w:snapToGrid w:val="0"/>
              <w:spacing w:after="200" w:line="220" w:lineRule="atLeast"/>
              <w:jc w:val="center"/>
              <w:textAlignment w:val="center"/>
              <w:rPr>
                <w:rFonts w:ascii="宋体" w:hAnsi="宋体"/>
                <w:b/>
                <w:bCs/>
                <w:color w:val="333333"/>
                <w:kern w:val="0"/>
                <w:sz w:val="24"/>
                <w:szCs w:val="24"/>
              </w:rPr>
            </w:pPr>
            <w:r>
              <w:rPr>
                <w:rFonts w:hint="eastAsia" w:ascii="宋体" w:hAnsi="宋体"/>
                <w:b/>
                <w:bCs/>
                <w:color w:val="333333"/>
                <w:kern w:val="0"/>
                <w:sz w:val="24"/>
                <w:szCs w:val="24"/>
              </w:rPr>
              <w:t>满分</w:t>
            </w:r>
          </w:p>
        </w:tc>
      </w:tr>
      <w:tr w14:paraId="022F8160">
        <w:tblPrEx>
          <w:tblCellMar>
            <w:top w:w="0" w:type="dxa"/>
            <w:left w:w="108" w:type="dxa"/>
            <w:bottom w:w="0" w:type="dxa"/>
            <w:right w:w="108" w:type="dxa"/>
          </w:tblCellMar>
        </w:tblPrEx>
        <w:trPr>
          <w:trHeight w:val="1020" w:hRule="atLeast"/>
        </w:trPr>
        <w:tc>
          <w:tcPr>
            <w:tcW w:w="400" w:type="pct"/>
            <w:tcBorders>
              <w:top w:val="single" w:color="000000" w:sz="4" w:space="0"/>
              <w:left w:val="single" w:color="000000" w:sz="4" w:space="0"/>
              <w:bottom w:val="single" w:color="000000" w:sz="4" w:space="0"/>
              <w:right w:val="single" w:color="000000" w:sz="4" w:space="0"/>
            </w:tcBorders>
            <w:vAlign w:val="center"/>
          </w:tcPr>
          <w:p w14:paraId="100F83C8">
            <w:pPr>
              <w:widowControl/>
              <w:adjustRightInd w:val="0"/>
              <w:snapToGrid w:val="0"/>
              <w:spacing w:after="200" w:line="220" w:lineRule="atLeast"/>
              <w:jc w:val="center"/>
              <w:textAlignment w:val="center"/>
              <w:rPr>
                <w:rFonts w:ascii="宋体" w:hAnsi="宋体"/>
                <w:color w:val="000000"/>
                <w:kern w:val="0"/>
                <w:sz w:val="24"/>
                <w:szCs w:val="24"/>
              </w:rPr>
            </w:pPr>
            <w:r>
              <w:rPr>
                <w:rFonts w:hint="eastAsia" w:ascii="宋体" w:hAnsi="宋体"/>
                <w:color w:val="000000"/>
                <w:kern w:val="0"/>
                <w:sz w:val="24"/>
                <w:szCs w:val="24"/>
              </w:rPr>
              <w:t>1</w:t>
            </w:r>
          </w:p>
        </w:tc>
        <w:tc>
          <w:tcPr>
            <w:tcW w:w="744" w:type="pct"/>
            <w:tcBorders>
              <w:top w:val="single" w:color="000000" w:sz="4" w:space="0"/>
              <w:left w:val="single" w:color="000000" w:sz="4" w:space="0"/>
              <w:bottom w:val="single" w:color="000000" w:sz="4" w:space="0"/>
              <w:right w:val="single" w:color="000000" w:sz="4" w:space="0"/>
            </w:tcBorders>
            <w:vAlign w:val="center"/>
          </w:tcPr>
          <w:p w14:paraId="5FBD56F2">
            <w:pPr>
              <w:widowControl/>
              <w:adjustRightInd w:val="0"/>
              <w:snapToGrid w:val="0"/>
              <w:spacing w:after="200" w:line="220" w:lineRule="atLeast"/>
              <w:jc w:val="left"/>
              <w:textAlignment w:val="center"/>
              <w:rPr>
                <w:rFonts w:ascii="宋体" w:hAnsi="宋体"/>
                <w:color w:val="000000"/>
                <w:kern w:val="0"/>
                <w:sz w:val="24"/>
                <w:szCs w:val="24"/>
              </w:rPr>
            </w:pPr>
            <w:r>
              <w:rPr>
                <w:rFonts w:ascii="宋体" w:hAnsi="宋体" w:cs="宋体"/>
                <w:color w:val="000000"/>
                <w:kern w:val="0"/>
                <w:sz w:val="24"/>
                <w:szCs w:val="24"/>
              </w:rPr>
              <w:t xml:space="preserve">服务价格 </w:t>
            </w:r>
          </w:p>
        </w:tc>
        <w:tc>
          <w:tcPr>
            <w:tcW w:w="3255" w:type="pct"/>
            <w:tcBorders>
              <w:top w:val="single" w:color="000000" w:sz="4" w:space="0"/>
              <w:left w:val="single" w:color="000000" w:sz="4" w:space="0"/>
              <w:bottom w:val="single" w:color="000000" w:sz="4" w:space="0"/>
              <w:right w:val="single" w:color="000000" w:sz="4" w:space="0"/>
            </w:tcBorders>
            <w:vAlign w:val="center"/>
          </w:tcPr>
          <w:p w14:paraId="7DA1D541">
            <w:pPr>
              <w:spacing w:line="440" w:lineRule="exact"/>
              <w:ind w:firstLine="480" w:firstLineChars="200"/>
              <w:jc w:val="left"/>
              <w:rPr>
                <w:rFonts w:hint="eastAsia" w:ascii="宋体"/>
                <w:sz w:val="24"/>
                <w:szCs w:val="24"/>
                <w:lang w:eastAsia="zh-CN"/>
              </w:rPr>
            </w:pPr>
            <w:r>
              <w:rPr>
                <w:rFonts w:hint="eastAsia" w:ascii="宋体"/>
                <w:sz w:val="24"/>
                <w:szCs w:val="24"/>
              </w:rPr>
              <w:t>满足磋商文件要求且报价最低为评标基准价，其价格分为满分。其他供应商的价格分按照下列公式计算（小数点保留两位）：报价得分＝（评标基准价/报价）×</w:t>
            </w:r>
            <w:r>
              <w:rPr>
                <w:rFonts w:hint="eastAsia" w:ascii="宋体"/>
                <w:sz w:val="24"/>
                <w:szCs w:val="24"/>
                <w:lang w:val="en-US" w:eastAsia="zh-CN"/>
              </w:rPr>
              <w:t>30</w:t>
            </w:r>
            <w:r>
              <w:rPr>
                <w:rFonts w:hint="eastAsia" w:ascii="宋体"/>
                <w:sz w:val="24"/>
                <w:szCs w:val="24"/>
              </w:rPr>
              <w:t>分</w:t>
            </w:r>
            <w:r>
              <w:rPr>
                <w:rFonts w:hint="eastAsia" w:ascii="宋体"/>
                <w:sz w:val="24"/>
                <w:szCs w:val="24"/>
                <w:lang w:eastAsia="zh-CN"/>
              </w:rPr>
              <w:t>。</w:t>
            </w:r>
          </w:p>
          <w:p w14:paraId="379E0DA3">
            <w:pPr>
              <w:widowControl/>
              <w:adjustRightInd w:val="0"/>
              <w:snapToGrid w:val="0"/>
              <w:spacing w:after="200" w:line="220" w:lineRule="atLeast"/>
              <w:textAlignment w:val="center"/>
              <w:rPr>
                <w:rFonts w:ascii="宋体" w:hAnsi="宋体"/>
                <w:color w:val="000000"/>
                <w:kern w:val="0"/>
                <w:sz w:val="24"/>
                <w:szCs w:val="24"/>
              </w:rPr>
            </w:pPr>
            <w:r>
              <w:rPr>
                <w:rFonts w:hint="eastAsia" w:ascii="宋体"/>
                <w:sz w:val="24"/>
                <w:szCs w:val="24"/>
              </w:rPr>
              <w:t>最低报价不作为中标保证</w:t>
            </w:r>
            <w:r>
              <w:rPr>
                <w:rFonts w:hint="eastAsia" w:ascii="宋体"/>
                <w:sz w:val="24"/>
                <w:szCs w:val="24"/>
                <w:lang w:eastAsia="zh-CN"/>
              </w:rPr>
              <w:t>。</w:t>
            </w:r>
          </w:p>
        </w:tc>
        <w:tc>
          <w:tcPr>
            <w:tcW w:w="600" w:type="pct"/>
            <w:tcBorders>
              <w:top w:val="single" w:color="000000" w:sz="4" w:space="0"/>
              <w:left w:val="single" w:color="000000" w:sz="4" w:space="0"/>
              <w:bottom w:val="single" w:color="000000" w:sz="4" w:space="0"/>
              <w:right w:val="single" w:color="000000" w:sz="4" w:space="0"/>
            </w:tcBorders>
            <w:vAlign w:val="center"/>
          </w:tcPr>
          <w:p w14:paraId="76BF938B">
            <w:pPr>
              <w:widowControl/>
              <w:adjustRightInd w:val="0"/>
              <w:snapToGrid w:val="0"/>
              <w:spacing w:after="200" w:line="220" w:lineRule="atLeast"/>
              <w:jc w:val="center"/>
              <w:textAlignment w:val="center"/>
              <w:rPr>
                <w:rFonts w:hint="default"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30</w:t>
            </w:r>
          </w:p>
        </w:tc>
      </w:tr>
      <w:tr w14:paraId="5A695F3B">
        <w:tblPrEx>
          <w:tblCellMar>
            <w:top w:w="0" w:type="dxa"/>
            <w:left w:w="108" w:type="dxa"/>
            <w:bottom w:w="0" w:type="dxa"/>
            <w:right w:w="108" w:type="dxa"/>
          </w:tblCellMar>
        </w:tblPrEx>
        <w:trPr>
          <w:trHeight w:val="850" w:hRule="atLeast"/>
        </w:trPr>
        <w:tc>
          <w:tcPr>
            <w:tcW w:w="400" w:type="pct"/>
            <w:vMerge w:val="restart"/>
            <w:tcBorders>
              <w:left w:val="single" w:color="000000" w:sz="4" w:space="0"/>
              <w:right w:val="single" w:color="000000" w:sz="4" w:space="0"/>
            </w:tcBorders>
            <w:vAlign w:val="center"/>
          </w:tcPr>
          <w:p w14:paraId="61EBA236">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2</w:t>
            </w:r>
          </w:p>
        </w:tc>
        <w:tc>
          <w:tcPr>
            <w:tcW w:w="744" w:type="pct"/>
            <w:vMerge w:val="restart"/>
            <w:tcBorders>
              <w:left w:val="single" w:color="000000" w:sz="4" w:space="0"/>
              <w:right w:val="single" w:color="000000" w:sz="4" w:space="0"/>
            </w:tcBorders>
            <w:vAlign w:val="center"/>
          </w:tcPr>
          <w:p w14:paraId="281F9EAA">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sz w:val="24"/>
                <w:szCs w:val="24"/>
              </w:rPr>
            </w:pPr>
            <w:r>
              <w:rPr>
                <w:rFonts w:hint="eastAsia" w:ascii="宋体" w:hAnsi="宋体" w:eastAsia="宋体" w:cs="宋体"/>
                <w:sz w:val="24"/>
                <w:szCs w:val="24"/>
              </w:rPr>
              <w:t>整体服务实施方案</w:t>
            </w:r>
          </w:p>
          <w:p w14:paraId="6D7F1D38">
            <w:pPr>
              <w:widowControl/>
              <w:adjustRightInd w:val="0"/>
              <w:snapToGrid w:val="0"/>
              <w:spacing w:after="200" w:line="220" w:lineRule="atLeast"/>
              <w:jc w:val="left"/>
              <w:textAlignment w:val="center"/>
              <w:rPr>
                <w:rFonts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6F8C4BCF">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Times New Roman" w:eastAsia="宋体" w:cs="Times New Roman"/>
                <w:sz w:val="24"/>
                <w:szCs w:val="24"/>
              </w:rPr>
            </w:pPr>
            <w:r>
              <w:rPr>
                <w:rFonts w:hint="eastAsia" w:ascii="宋体" w:hAnsi="宋体" w:eastAsia="宋体" w:cs="宋体"/>
                <w:sz w:val="24"/>
                <w:szCs w:val="24"/>
              </w:rPr>
              <w:t xml:space="preserve"> 1、整体服务规划（</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分）：针对盱眙农商行业务体量、网点分布、现金流转特点，制定专项清分服务方案，涵盖日常清分流程、钞币分类整理、残损币甄别、账款核对、台账登记全流程。方案完整、贴合项目实际、流程规范得 </w:t>
            </w:r>
            <w:r>
              <w:rPr>
                <w:rFonts w:hint="eastAsia" w:ascii="宋体" w:hAnsi="宋体" w:eastAsia="宋体" w:cs="宋体"/>
                <w:sz w:val="24"/>
                <w:szCs w:val="24"/>
                <w:lang w:val="en-US" w:eastAsia="zh-CN"/>
              </w:rPr>
              <w:t>3-5</w:t>
            </w:r>
            <w:r>
              <w:rPr>
                <w:rFonts w:hint="eastAsia" w:ascii="宋体" w:hAnsi="宋体" w:eastAsia="宋体" w:cs="宋体"/>
                <w:sz w:val="24"/>
                <w:szCs w:val="24"/>
              </w:rPr>
              <w:t xml:space="preserve"> 分；方案基本完整、通用性较强得 1-</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分；方案简陋、无针对性不得分。</w:t>
            </w:r>
          </w:p>
        </w:tc>
        <w:tc>
          <w:tcPr>
            <w:tcW w:w="600" w:type="pct"/>
            <w:tcBorders>
              <w:top w:val="single" w:color="000000" w:sz="4" w:space="0"/>
              <w:left w:val="single" w:color="000000" w:sz="4" w:space="0"/>
              <w:bottom w:val="single" w:color="000000" w:sz="4" w:space="0"/>
              <w:right w:val="single" w:color="000000" w:sz="4" w:space="0"/>
            </w:tcBorders>
            <w:vAlign w:val="center"/>
          </w:tcPr>
          <w:p w14:paraId="35E53596">
            <w:pPr>
              <w:widowControl/>
              <w:adjustRightInd w:val="0"/>
              <w:snapToGrid w:val="0"/>
              <w:spacing w:after="200" w:line="220" w:lineRule="atLeast"/>
              <w:jc w:val="center"/>
              <w:textAlignment w:val="center"/>
              <w:rPr>
                <w:rFonts w:hint="default"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5</w:t>
            </w:r>
          </w:p>
        </w:tc>
      </w:tr>
      <w:tr w14:paraId="6F03E4CE">
        <w:tblPrEx>
          <w:tblCellMar>
            <w:top w:w="0" w:type="dxa"/>
            <w:left w:w="108" w:type="dxa"/>
            <w:bottom w:w="0" w:type="dxa"/>
            <w:right w:w="108" w:type="dxa"/>
          </w:tblCellMar>
        </w:tblPrEx>
        <w:trPr>
          <w:trHeight w:val="510" w:hRule="atLeast"/>
        </w:trPr>
        <w:tc>
          <w:tcPr>
            <w:tcW w:w="400" w:type="pct"/>
            <w:vMerge w:val="continue"/>
            <w:tcBorders>
              <w:left w:val="single" w:color="000000" w:sz="4" w:space="0"/>
              <w:right w:val="single" w:color="000000" w:sz="4" w:space="0"/>
            </w:tcBorders>
            <w:vAlign w:val="center"/>
          </w:tcPr>
          <w:p w14:paraId="44A79073">
            <w:pPr>
              <w:widowControl/>
              <w:adjustRightInd w:val="0"/>
              <w:snapToGrid w:val="0"/>
              <w:spacing w:after="200" w:line="220" w:lineRule="atLeast"/>
              <w:jc w:val="center"/>
              <w:textAlignment w:val="center"/>
              <w:rPr>
                <w:rFonts w:ascii="宋体" w:hAnsi="宋体"/>
                <w:color w:val="000000"/>
                <w:kern w:val="0"/>
                <w:sz w:val="24"/>
                <w:szCs w:val="24"/>
              </w:rPr>
            </w:pPr>
          </w:p>
        </w:tc>
        <w:tc>
          <w:tcPr>
            <w:tcW w:w="744" w:type="pct"/>
            <w:vMerge w:val="continue"/>
            <w:tcBorders>
              <w:left w:val="single" w:color="000000" w:sz="4" w:space="0"/>
              <w:right w:val="single" w:color="000000" w:sz="4" w:space="0"/>
            </w:tcBorders>
            <w:vAlign w:val="center"/>
          </w:tcPr>
          <w:p w14:paraId="7628CCF5">
            <w:pPr>
              <w:widowControl/>
              <w:adjustRightInd w:val="0"/>
              <w:snapToGrid w:val="0"/>
              <w:spacing w:after="200" w:line="220" w:lineRule="atLeast"/>
              <w:jc w:val="left"/>
              <w:textAlignment w:val="center"/>
              <w:rPr>
                <w:rFonts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60E3053C">
            <w:pPr>
              <w:spacing w:line="440" w:lineRule="exact"/>
              <w:jc w:val="left"/>
              <w:rPr>
                <w:rFonts w:hint="eastAsia" w:ascii="宋体" w:hAnsi="宋体" w:eastAsia="宋体" w:cs="宋体"/>
                <w:sz w:val="24"/>
                <w:szCs w:val="24"/>
              </w:rPr>
            </w:pPr>
            <w:r>
              <w:rPr>
                <w:rFonts w:hint="eastAsia" w:ascii="宋体" w:hAnsi="宋体" w:eastAsia="宋体" w:cs="宋体"/>
                <w:sz w:val="24"/>
                <w:szCs w:val="24"/>
              </w:rPr>
              <w:t xml:space="preserve"> 2、五好钱捆质量管控（5 分）：</w:t>
            </w:r>
          </w:p>
          <w:p w14:paraId="3201465D">
            <w:pPr>
              <w:spacing w:line="440" w:lineRule="exact"/>
              <w:jc w:val="left"/>
              <w:rPr>
                <w:rFonts w:hint="eastAsia" w:ascii="宋体" w:hAnsi="Times New Roman" w:eastAsia="宋体" w:cs="Times New Roman"/>
                <w:sz w:val="24"/>
                <w:szCs w:val="24"/>
              </w:rPr>
            </w:pPr>
            <w:r>
              <w:rPr>
                <w:rFonts w:hint="eastAsia" w:ascii="宋体" w:hAnsi="宋体" w:eastAsia="宋体" w:cs="宋体"/>
                <w:sz w:val="24"/>
                <w:szCs w:val="24"/>
              </w:rPr>
              <w:t>严格按照人民银行 “五好钱捆” 标准制定作业规范，明确钞币墩齐、捆扎、封签、印章、摆放标准，细化误差管控标准（毛边、下垂度等），管控细则完善、可落地得 3-5 分；标准笼统、无具体管控措施得 1-2 分；未制定专项标准不得分。</w:t>
            </w:r>
          </w:p>
        </w:tc>
        <w:tc>
          <w:tcPr>
            <w:tcW w:w="600" w:type="pct"/>
            <w:tcBorders>
              <w:top w:val="single" w:color="000000" w:sz="4" w:space="0"/>
              <w:left w:val="single" w:color="000000" w:sz="4" w:space="0"/>
              <w:bottom w:val="single" w:color="000000" w:sz="4" w:space="0"/>
              <w:right w:val="single" w:color="000000" w:sz="4" w:space="0"/>
            </w:tcBorders>
            <w:vAlign w:val="center"/>
          </w:tcPr>
          <w:p w14:paraId="1F389DEF">
            <w:pPr>
              <w:widowControl/>
              <w:adjustRightInd w:val="0"/>
              <w:snapToGrid w:val="0"/>
              <w:spacing w:after="200" w:line="220" w:lineRule="atLeast"/>
              <w:jc w:val="center"/>
              <w:textAlignment w:val="center"/>
              <w:rPr>
                <w:rFonts w:hint="eastAsia" w:ascii="宋体" w:hAnsi="宋体" w:eastAsia="宋体"/>
                <w:color w:val="000000"/>
                <w:kern w:val="0"/>
                <w:sz w:val="24"/>
                <w:szCs w:val="24"/>
                <w:lang w:eastAsia="zh-CN"/>
              </w:rPr>
            </w:pPr>
            <w:r>
              <w:rPr>
                <w:rFonts w:hint="eastAsia" w:ascii="宋体" w:hAnsi="宋体"/>
                <w:color w:val="000000"/>
                <w:kern w:val="0"/>
                <w:sz w:val="24"/>
                <w:szCs w:val="24"/>
                <w:lang w:val="en-US" w:eastAsia="zh-CN"/>
              </w:rPr>
              <w:t>5</w:t>
            </w:r>
          </w:p>
        </w:tc>
      </w:tr>
      <w:tr w14:paraId="10058201">
        <w:tblPrEx>
          <w:tblCellMar>
            <w:top w:w="0" w:type="dxa"/>
            <w:left w:w="108" w:type="dxa"/>
            <w:bottom w:w="0" w:type="dxa"/>
            <w:right w:w="108" w:type="dxa"/>
          </w:tblCellMar>
        </w:tblPrEx>
        <w:trPr>
          <w:trHeight w:val="980" w:hRule="atLeast"/>
        </w:trPr>
        <w:tc>
          <w:tcPr>
            <w:tcW w:w="400" w:type="pct"/>
            <w:vMerge w:val="continue"/>
            <w:tcBorders>
              <w:left w:val="single" w:color="000000" w:sz="4" w:space="0"/>
              <w:right w:val="single" w:color="000000" w:sz="4" w:space="0"/>
            </w:tcBorders>
            <w:vAlign w:val="center"/>
          </w:tcPr>
          <w:p w14:paraId="5B1B6A0D">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right w:val="single" w:color="000000" w:sz="4" w:space="0"/>
            </w:tcBorders>
            <w:vAlign w:val="center"/>
          </w:tcPr>
          <w:p w14:paraId="1A9BD66C">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6E675006">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Times New Roman" w:eastAsia="宋体" w:cs="Times New Roman"/>
                <w:sz w:val="24"/>
                <w:szCs w:val="24"/>
              </w:rPr>
            </w:pPr>
            <w:r>
              <w:rPr>
                <w:rFonts w:hint="eastAsia" w:ascii="宋体" w:hAnsi="宋体" w:eastAsia="宋体" w:cs="宋体"/>
                <w:sz w:val="24"/>
                <w:szCs w:val="24"/>
              </w:rPr>
              <w:t>3、自助设备现金处理方案（4 分）：包含自助设备回钞清点、钞箱装卸、系统录入、差错核对专项流程，适配农商行自助设备运维需求，流程严谨、责任清晰得 3-4 分；方案不完善得 1-2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06D95CB6">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4</w:t>
            </w:r>
          </w:p>
        </w:tc>
      </w:tr>
      <w:tr w14:paraId="0BE0BCD9">
        <w:tblPrEx>
          <w:tblCellMar>
            <w:top w:w="0" w:type="dxa"/>
            <w:left w:w="108" w:type="dxa"/>
            <w:bottom w:w="0" w:type="dxa"/>
            <w:right w:w="108" w:type="dxa"/>
          </w:tblCellMar>
        </w:tblPrEx>
        <w:trPr>
          <w:trHeight w:val="980" w:hRule="atLeast"/>
        </w:trPr>
        <w:tc>
          <w:tcPr>
            <w:tcW w:w="400" w:type="pct"/>
            <w:vMerge w:val="continue"/>
            <w:tcBorders>
              <w:left w:val="single" w:color="000000" w:sz="4" w:space="0"/>
              <w:bottom w:val="single" w:color="000000" w:sz="4" w:space="0"/>
              <w:right w:val="single" w:color="000000" w:sz="4" w:space="0"/>
            </w:tcBorders>
            <w:vAlign w:val="center"/>
          </w:tcPr>
          <w:p w14:paraId="242AA13C">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bottom w:val="single" w:color="000000" w:sz="4" w:space="0"/>
              <w:right w:val="single" w:color="000000" w:sz="4" w:space="0"/>
            </w:tcBorders>
            <w:vAlign w:val="center"/>
          </w:tcPr>
          <w:p w14:paraId="1C7903AB">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496551AF">
            <w:pPr>
              <w:spacing w:line="440" w:lineRule="exact"/>
              <w:jc w:val="left"/>
              <w:rPr>
                <w:rFonts w:hint="eastAsia" w:ascii="宋体" w:hAnsi="宋体" w:eastAsia="宋体" w:cs="宋体"/>
                <w:sz w:val="24"/>
                <w:szCs w:val="24"/>
              </w:rPr>
            </w:pPr>
            <w:r>
              <w:rPr>
                <w:rFonts w:hint="eastAsia" w:ascii="宋体" w:hAnsi="宋体" w:eastAsia="宋体" w:cs="宋体"/>
                <w:sz w:val="24"/>
                <w:szCs w:val="24"/>
              </w:rPr>
              <w:t>4、工作对接与作息保障（5 分）：</w:t>
            </w:r>
          </w:p>
          <w:p w14:paraId="4A01DB08">
            <w:pPr>
              <w:spacing w:line="440" w:lineRule="exact"/>
              <w:jc w:val="left"/>
              <w:rPr>
                <w:rFonts w:hint="eastAsia" w:ascii="宋体" w:hAnsi="Times New Roman" w:eastAsia="宋体" w:cs="Times New Roman"/>
                <w:sz w:val="24"/>
                <w:szCs w:val="24"/>
              </w:rPr>
            </w:pPr>
            <w:r>
              <w:rPr>
                <w:rFonts w:hint="eastAsia" w:ascii="宋体" w:hAnsi="宋体" w:eastAsia="宋体" w:cs="宋体"/>
                <w:sz w:val="24"/>
                <w:szCs w:val="24"/>
              </w:rPr>
              <w:t>明确驻场服务模式、日常工作时段、节假日应急值守机制，配备专属对接人员，保障网点现金周转需求，方案完善、响应高效得 4-5 分；基本满足需求得 1-3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59DB5105">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5</w:t>
            </w:r>
          </w:p>
        </w:tc>
      </w:tr>
      <w:tr w14:paraId="059BCB03">
        <w:tblPrEx>
          <w:tblCellMar>
            <w:top w:w="0" w:type="dxa"/>
            <w:left w:w="108" w:type="dxa"/>
            <w:bottom w:w="0" w:type="dxa"/>
            <w:right w:w="108" w:type="dxa"/>
          </w:tblCellMar>
        </w:tblPrEx>
        <w:trPr>
          <w:trHeight w:val="980" w:hRule="atLeast"/>
        </w:trPr>
        <w:tc>
          <w:tcPr>
            <w:tcW w:w="400" w:type="pct"/>
            <w:vMerge w:val="restart"/>
            <w:tcBorders>
              <w:left w:val="single" w:color="000000" w:sz="4" w:space="0"/>
              <w:right w:val="single" w:color="000000" w:sz="4" w:space="0"/>
            </w:tcBorders>
            <w:vAlign w:val="center"/>
          </w:tcPr>
          <w:p w14:paraId="6626C3D5">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3</w:t>
            </w:r>
          </w:p>
        </w:tc>
        <w:tc>
          <w:tcPr>
            <w:tcW w:w="744" w:type="pct"/>
            <w:vMerge w:val="restart"/>
            <w:tcBorders>
              <w:left w:val="single" w:color="000000" w:sz="4" w:space="0"/>
              <w:right w:val="single" w:color="000000" w:sz="4" w:space="0"/>
            </w:tcBorders>
            <w:vAlign w:val="center"/>
          </w:tcPr>
          <w:p w14:paraId="27F841C6">
            <w:pPr>
              <w:widowControl/>
              <w:adjustRightInd w:val="0"/>
              <w:snapToGrid w:val="0"/>
              <w:spacing w:after="200" w:line="220" w:lineRule="atLeast"/>
              <w:jc w:val="left"/>
              <w:textAlignment w:val="center"/>
              <w:rPr>
                <w:rFonts w:hint="eastAsia" w:ascii="宋体" w:hAnsi="宋体"/>
                <w:color w:val="000000"/>
                <w:kern w:val="0"/>
                <w:sz w:val="24"/>
                <w:szCs w:val="24"/>
              </w:rPr>
            </w:pPr>
            <w:r>
              <w:rPr>
                <w:rFonts w:hint="eastAsia" w:ascii="宋体" w:hAnsi="宋体" w:eastAsia="宋体" w:cs="宋体"/>
                <w:sz w:val="24"/>
                <w:szCs w:val="24"/>
              </w:rPr>
              <w:t>人员与设备配置</w:t>
            </w:r>
          </w:p>
        </w:tc>
        <w:tc>
          <w:tcPr>
            <w:tcW w:w="3255" w:type="pct"/>
            <w:tcBorders>
              <w:top w:val="single" w:color="000000" w:sz="4" w:space="0"/>
              <w:left w:val="single" w:color="000000" w:sz="4" w:space="0"/>
              <w:bottom w:val="single" w:color="000000" w:sz="4" w:space="0"/>
              <w:right w:val="single" w:color="000000" w:sz="4" w:space="0"/>
            </w:tcBorders>
            <w:vAlign w:val="center"/>
          </w:tcPr>
          <w:p w14:paraId="7CA7546F">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1、作业人员配置（</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分）：承诺配备足额专职清分人员，所有人员无违法犯罪记录、经过现金清分专业培训、熟练掌握人民币鉴别、残损币认定标准。配备人员充足、培训体系完善得</w:t>
            </w:r>
            <w:r>
              <w:rPr>
                <w:rFonts w:hint="eastAsia" w:ascii="宋体" w:hAnsi="宋体" w:eastAsia="宋体" w:cs="宋体"/>
                <w:sz w:val="24"/>
                <w:szCs w:val="24"/>
                <w:lang w:val="en-US" w:eastAsia="zh-CN"/>
              </w:rPr>
              <w:t>4-5</w:t>
            </w:r>
            <w:r>
              <w:rPr>
                <w:rFonts w:hint="eastAsia" w:ascii="宋体" w:hAnsi="宋体" w:eastAsia="宋体" w:cs="宋体"/>
                <w:sz w:val="24"/>
                <w:szCs w:val="24"/>
              </w:rPr>
              <w:t>分；人员配置基本达标、培训简单得 1-</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1BDC8B51">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5</w:t>
            </w:r>
          </w:p>
        </w:tc>
      </w:tr>
      <w:tr w14:paraId="41A7FB05">
        <w:tblPrEx>
          <w:tblCellMar>
            <w:top w:w="0" w:type="dxa"/>
            <w:left w:w="108" w:type="dxa"/>
            <w:bottom w:w="0" w:type="dxa"/>
            <w:right w:w="108" w:type="dxa"/>
          </w:tblCellMar>
        </w:tblPrEx>
        <w:trPr>
          <w:trHeight w:val="980" w:hRule="atLeast"/>
        </w:trPr>
        <w:tc>
          <w:tcPr>
            <w:tcW w:w="400" w:type="pct"/>
            <w:vMerge w:val="continue"/>
            <w:tcBorders>
              <w:left w:val="single" w:color="000000" w:sz="4" w:space="0"/>
              <w:right w:val="single" w:color="000000" w:sz="4" w:space="0"/>
            </w:tcBorders>
            <w:vAlign w:val="center"/>
          </w:tcPr>
          <w:p w14:paraId="2B09AC0A">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right w:val="single" w:color="000000" w:sz="4" w:space="0"/>
            </w:tcBorders>
            <w:vAlign w:val="center"/>
          </w:tcPr>
          <w:p w14:paraId="7B5CA52D">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3A419A3F">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2、专业设备配置（5 分）：配备足量高性能智能清分机、验钞机、扎把机、监控设备、密闭保管设备，设备型号先进、数量充足、可满足日常及峰值业务需求得 4-5 分；设备基本满足需求得 1-3 分；设备配置不足不得分。 </w:t>
            </w:r>
          </w:p>
        </w:tc>
        <w:tc>
          <w:tcPr>
            <w:tcW w:w="600" w:type="pct"/>
            <w:tcBorders>
              <w:top w:val="single" w:color="000000" w:sz="4" w:space="0"/>
              <w:left w:val="single" w:color="000000" w:sz="4" w:space="0"/>
              <w:bottom w:val="single" w:color="000000" w:sz="4" w:space="0"/>
              <w:right w:val="single" w:color="000000" w:sz="4" w:space="0"/>
            </w:tcBorders>
            <w:vAlign w:val="center"/>
          </w:tcPr>
          <w:p w14:paraId="7DE7A892">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5</w:t>
            </w:r>
          </w:p>
        </w:tc>
      </w:tr>
      <w:tr w14:paraId="3E447935">
        <w:tblPrEx>
          <w:tblCellMar>
            <w:top w:w="0" w:type="dxa"/>
            <w:left w:w="108" w:type="dxa"/>
            <w:bottom w:w="0" w:type="dxa"/>
            <w:right w:w="108" w:type="dxa"/>
          </w:tblCellMar>
        </w:tblPrEx>
        <w:trPr>
          <w:trHeight w:val="1310" w:hRule="atLeast"/>
        </w:trPr>
        <w:tc>
          <w:tcPr>
            <w:tcW w:w="400" w:type="pct"/>
            <w:vMerge w:val="continue"/>
            <w:tcBorders>
              <w:left w:val="single" w:color="000000" w:sz="4" w:space="0"/>
              <w:bottom w:val="single" w:color="000000" w:sz="4" w:space="0"/>
              <w:right w:val="single" w:color="000000" w:sz="4" w:space="0"/>
            </w:tcBorders>
            <w:vAlign w:val="center"/>
          </w:tcPr>
          <w:p w14:paraId="18FE417A">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bottom w:val="single" w:color="000000" w:sz="4" w:space="0"/>
              <w:right w:val="single" w:color="000000" w:sz="4" w:space="0"/>
            </w:tcBorders>
            <w:vAlign w:val="center"/>
          </w:tcPr>
          <w:p w14:paraId="20BA0099">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45057C2B">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3、人员管理制度（3 分）：建立完善的人员考勤、轮岗、保密、安全管理制度，明确驻场人员行为规范，制度健全完善得 3 分，制度不全得 1-2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3C9A0807">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3</w:t>
            </w:r>
          </w:p>
        </w:tc>
      </w:tr>
      <w:tr w14:paraId="26280B32">
        <w:tblPrEx>
          <w:tblCellMar>
            <w:top w:w="0" w:type="dxa"/>
            <w:left w:w="108" w:type="dxa"/>
            <w:bottom w:w="0" w:type="dxa"/>
            <w:right w:w="108" w:type="dxa"/>
          </w:tblCellMar>
        </w:tblPrEx>
        <w:trPr>
          <w:trHeight w:val="980" w:hRule="atLeast"/>
        </w:trPr>
        <w:tc>
          <w:tcPr>
            <w:tcW w:w="400" w:type="pct"/>
            <w:vMerge w:val="restart"/>
            <w:tcBorders>
              <w:left w:val="single" w:color="000000" w:sz="4" w:space="0"/>
              <w:right w:val="single" w:color="000000" w:sz="4" w:space="0"/>
            </w:tcBorders>
            <w:vAlign w:val="center"/>
          </w:tcPr>
          <w:p w14:paraId="02C0C789">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4</w:t>
            </w:r>
          </w:p>
        </w:tc>
        <w:tc>
          <w:tcPr>
            <w:tcW w:w="744" w:type="pct"/>
            <w:vMerge w:val="restart"/>
            <w:tcBorders>
              <w:left w:val="single" w:color="000000" w:sz="4" w:space="0"/>
              <w:right w:val="single" w:color="000000" w:sz="4" w:space="0"/>
            </w:tcBorders>
            <w:vAlign w:val="center"/>
          </w:tcPr>
          <w:p w14:paraId="5835605D">
            <w:pPr>
              <w:widowControl/>
              <w:adjustRightInd w:val="0"/>
              <w:snapToGrid w:val="0"/>
              <w:spacing w:after="200" w:line="220" w:lineRule="atLeast"/>
              <w:jc w:val="left"/>
              <w:textAlignment w:val="center"/>
              <w:rPr>
                <w:rFonts w:hint="eastAsia" w:ascii="宋体" w:hAnsi="宋体"/>
                <w:color w:val="000000"/>
                <w:kern w:val="0"/>
                <w:sz w:val="24"/>
                <w:szCs w:val="24"/>
              </w:rPr>
            </w:pPr>
            <w:r>
              <w:rPr>
                <w:rFonts w:hint="eastAsia" w:ascii="宋体" w:hAnsi="宋体" w:eastAsia="宋体" w:cs="宋体"/>
                <w:sz w:val="24"/>
                <w:szCs w:val="24"/>
              </w:rPr>
              <w:t>服务质量与差错管控</w:t>
            </w:r>
          </w:p>
        </w:tc>
        <w:tc>
          <w:tcPr>
            <w:tcW w:w="3255" w:type="pct"/>
            <w:tcBorders>
              <w:top w:val="single" w:color="000000" w:sz="4" w:space="0"/>
              <w:left w:val="single" w:color="000000" w:sz="4" w:space="0"/>
              <w:bottom w:val="single" w:color="000000" w:sz="4" w:space="0"/>
              <w:right w:val="single" w:color="000000" w:sz="4" w:space="0"/>
            </w:tcBorders>
            <w:vAlign w:val="center"/>
          </w:tcPr>
          <w:p w14:paraId="59A8220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1、清分准确率管控（</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分）：明确核心质量指标：清分后现金假币零留存、残损币剔除率 100%、账实相符率 100%，制定差错追责、复核校验机制。指标清晰、管控机制完善得 </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分；有基础管控措施得 1-</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3CFC6E68">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7</w:t>
            </w:r>
          </w:p>
        </w:tc>
      </w:tr>
      <w:tr w14:paraId="41B5B236">
        <w:tblPrEx>
          <w:tblCellMar>
            <w:top w:w="0" w:type="dxa"/>
            <w:left w:w="108" w:type="dxa"/>
            <w:bottom w:w="0" w:type="dxa"/>
            <w:right w:w="108" w:type="dxa"/>
          </w:tblCellMar>
        </w:tblPrEx>
        <w:trPr>
          <w:trHeight w:val="480" w:hRule="atLeast"/>
        </w:trPr>
        <w:tc>
          <w:tcPr>
            <w:tcW w:w="400" w:type="pct"/>
            <w:vMerge w:val="continue"/>
            <w:tcBorders>
              <w:left w:val="single" w:color="000000" w:sz="4" w:space="0"/>
              <w:right w:val="single" w:color="000000" w:sz="4" w:space="0"/>
            </w:tcBorders>
            <w:vAlign w:val="center"/>
          </w:tcPr>
          <w:p w14:paraId="4770B78F">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right w:val="single" w:color="000000" w:sz="4" w:space="0"/>
            </w:tcBorders>
            <w:vAlign w:val="center"/>
          </w:tcPr>
          <w:p w14:paraId="02F445B3">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5E35387A">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2、差错处理机制（6 分）：针对账实不符、假币混入、钱捆质量不达标、人行退回、网点投诉等问题，制定快速核查、整改、赔付、追责机制，流程闭环、权责明确得 4-6 分；机制不完善得 1-3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4A40284C">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6</w:t>
            </w:r>
          </w:p>
        </w:tc>
      </w:tr>
      <w:tr w14:paraId="410155C5">
        <w:tblPrEx>
          <w:tblCellMar>
            <w:top w:w="0" w:type="dxa"/>
            <w:left w:w="108" w:type="dxa"/>
            <w:bottom w:w="0" w:type="dxa"/>
            <w:right w:w="108" w:type="dxa"/>
          </w:tblCellMar>
        </w:tblPrEx>
        <w:trPr>
          <w:trHeight w:val="90" w:hRule="atLeast"/>
        </w:trPr>
        <w:tc>
          <w:tcPr>
            <w:tcW w:w="400" w:type="pct"/>
            <w:vMerge w:val="continue"/>
            <w:tcBorders>
              <w:left w:val="single" w:color="000000" w:sz="4" w:space="0"/>
              <w:bottom w:val="single" w:color="000000" w:sz="4" w:space="0"/>
              <w:right w:val="single" w:color="000000" w:sz="4" w:space="0"/>
            </w:tcBorders>
            <w:vAlign w:val="center"/>
          </w:tcPr>
          <w:p w14:paraId="542C9501">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bottom w:val="single" w:color="000000" w:sz="4" w:space="0"/>
              <w:right w:val="single" w:color="000000" w:sz="4" w:space="0"/>
            </w:tcBorders>
            <w:vAlign w:val="center"/>
          </w:tcPr>
          <w:p w14:paraId="6EAEA152">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61BD5E95">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3、日常考核管理（6 分）：建立日自查、周复盘、月考核的内部质检体系，主动接受甲方抽查、考核，定期提交服务台账与质量报告，考核体系完善、可量化可落地得 4-6 分；有基础考核机制得 1-3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6154E793">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6</w:t>
            </w:r>
          </w:p>
        </w:tc>
      </w:tr>
      <w:tr w14:paraId="26F5009C">
        <w:tblPrEx>
          <w:tblCellMar>
            <w:top w:w="0" w:type="dxa"/>
            <w:left w:w="108" w:type="dxa"/>
            <w:bottom w:w="0" w:type="dxa"/>
            <w:right w:w="108" w:type="dxa"/>
          </w:tblCellMar>
        </w:tblPrEx>
        <w:trPr>
          <w:trHeight w:val="980" w:hRule="atLeast"/>
        </w:trPr>
        <w:tc>
          <w:tcPr>
            <w:tcW w:w="400" w:type="pct"/>
            <w:vMerge w:val="restart"/>
            <w:tcBorders>
              <w:left w:val="single" w:color="000000" w:sz="4" w:space="0"/>
              <w:right w:val="single" w:color="000000" w:sz="4" w:space="0"/>
            </w:tcBorders>
            <w:vAlign w:val="center"/>
          </w:tcPr>
          <w:p w14:paraId="77B24CFA">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restart"/>
            <w:tcBorders>
              <w:left w:val="single" w:color="000000" w:sz="4" w:space="0"/>
              <w:right w:val="single" w:color="000000" w:sz="4" w:space="0"/>
            </w:tcBorders>
            <w:vAlign w:val="center"/>
          </w:tcPr>
          <w:p w14:paraId="633ED7A5">
            <w:pPr>
              <w:widowControl/>
              <w:adjustRightInd w:val="0"/>
              <w:snapToGrid w:val="0"/>
              <w:spacing w:after="200" w:line="220" w:lineRule="atLeast"/>
              <w:jc w:val="left"/>
              <w:textAlignment w:val="center"/>
              <w:rPr>
                <w:rFonts w:hint="eastAsia" w:ascii="宋体" w:hAnsi="宋体"/>
                <w:color w:val="000000"/>
                <w:kern w:val="0"/>
                <w:sz w:val="24"/>
                <w:szCs w:val="24"/>
              </w:rPr>
            </w:pPr>
            <w:r>
              <w:rPr>
                <w:rFonts w:hint="eastAsia" w:ascii="宋体" w:hAnsi="宋体" w:eastAsia="宋体" w:cs="宋体"/>
                <w:sz w:val="24"/>
                <w:szCs w:val="24"/>
              </w:rPr>
              <w:t>安全与应急保障</w:t>
            </w:r>
          </w:p>
        </w:tc>
        <w:tc>
          <w:tcPr>
            <w:tcW w:w="3255" w:type="pct"/>
            <w:tcBorders>
              <w:top w:val="single" w:color="000000" w:sz="4" w:space="0"/>
              <w:left w:val="single" w:color="000000" w:sz="4" w:space="0"/>
              <w:bottom w:val="single" w:color="000000" w:sz="4" w:space="0"/>
              <w:right w:val="single" w:color="000000" w:sz="4" w:space="0"/>
            </w:tcBorders>
            <w:vAlign w:val="center"/>
          </w:tcPr>
          <w:p w14:paraId="0FF5795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1、安全保密管理（4 分）：制定现金保管、转运、作业全流程安全管理制度，落实监控全覆盖、现金双人复核、涉密信息保密要求，杜绝现金遗失、信息泄露风险，制度完善得 4 分，基本完善得 1-3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0ACE3EA5">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4</w:t>
            </w:r>
          </w:p>
        </w:tc>
      </w:tr>
      <w:tr w14:paraId="0F353451">
        <w:tblPrEx>
          <w:tblCellMar>
            <w:top w:w="0" w:type="dxa"/>
            <w:left w:w="108" w:type="dxa"/>
            <w:bottom w:w="0" w:type="dxa"/>
            <w:right w:w="108" w:type="dxa"/>
          </w:tblCellMar>
        </w:tblPrEx>
        <w:trPr>
          <w:trHeight w:val="980" w:hRule="atLeast"/>
        </w:trPr>
        <w:tc>
          <w:tcPr>
            <w:tcW w:w="400" w:type="pct"/>
            <w:vMerge w:val="continue"/>
            <w:tcBorders>
              <w:left w:val="single" w:color="000000" w:sz="4" w:space="0"/>
              <w:right w:val="single" w:color="000000" w:sz="4" w:space="0"/>
            </w:tcBorders>
            <w:vAlign w:val="center"/>
          </w:tcPr>
          <w:p w14:paraId="0B0122A0">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right w:val="single" w:color="000000" w:sz="4" w:space="0"/>
            </w:tcBorders>
            <w:vAlign w:val="center"/>
          </w:tcPr>
          <w:p w14:paraId="5E64AF4A">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1F361059">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2、应急处置方案（4 分）：针对业务高峰期、人员突发离岗、设备故障、现金差错、突发舆情等场景制定专项应急预案，响应流程清晰、处置措施具体得 3-4 分；有基础预案得 1-2 分。</w:t>
            </w:r>
          </w:p>
        </w:tc>
        <w:tc>
          <w:tcPr>
            <w:tcW w:w="600" w:type="pct"/>
            <w:tcBorders>
              <w:top w:val="single" w:color="000000" w:sz="4" w:space="0"/>
              <w:left w:val="single" w:color="000000" w:sz="4" w:space="0"/>
              <w:bottom w:val="single" w:color="000000" w:sz="4" w:space="0"/>
              <w:right w:val="single" w:color="000000" w:sz="4" w:space="0"/>
            </w:tcBorders>
            <w:vAlign w:val="center"/>
          </w:tcPr>
          <w:p w14:paraId="7C0B78DF">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4</w:t>
            </w:r>
          </w:p>
        </w:tc>
      </w:tr>
      <w:tr w14:paraId="41D6311E">
        <w:tblPrEx>
          <w:tblCellMar>
            <w:top w:w="0" w:type="dxa"/>
            <w:left w:w="108" w:type="dxa"/>
            <w:bottom w:w="0" w:type="dxa"/>
            <w:right w:w="108" w:type="dxa"/>
          </w:tblCellMar>
        </w:tblPrEx>
        <w:trPr>
          <w:trHeight w:val="980" w:hRule="atLeast"/>
        </w:trPr>
        <w:tc>
          <w:tcPr>
            <w:tcW w:w="400" w:type="pct"/>
            <w:vMerge w:val="continue"/>
            <w:tcBorders>
              <w:left w:val="single" w:color="000000" w:sz="4" w:space="0"/>
              <w:bottom w:val="single" w:color="000000" w:sz="4" w:space="0"/>
              <w:right w:val="single" w:color="000000" w:sz="4" w:space="0"/>
            </w:tcBorders>
            <w:vAlign w:val="center"/>
          </w:tcPr>
          <w:p w14:paraId="1241F4A3">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vMerge w:val="continue"/>
            <w:tcBorders>
              <w:left w:val="single" w:color="000000" w:sz="4" w:space="0"/>
              <w:bottom w:val="single" w:color="000000" w:sz="4" w:space="0"/>
              <w:right w:val="single" w:color="000000" w:sz="4" w:space="0"/>
            </w:tcBorders>
            <w:vAlign w:val="center"/>
          </w:tcPr>
          <w:p w14:paraId="25FBE13D">
            <w:pPr>
              <w:widowControl/>
              <w:adjustRightInd w:val="0"/>
              <w:snapToGrid w:val="0"/>
              <w:spacing w:after="200" w:line="220" w:lineRule="atLeast"/>
              <w:jc w:val="left"/>
              <w:textAlignment w:val="center"/>
              <w:rPr>
                <w:rFonts w:hint="eastAsia" w:ascii="宋体" w:hAnsi="宋体"/>
                <w:color w:val="000000"/>
                <w:kern w:val="0"/>
                <w:sz w:val="24"/>
                <w:szCs w:val="24"/>
              </w:rPr>
            </w:pPr>
          </w:p>
        </w:tc>
        <w:tc>
          <w:tcPr>
            <w:tcW w:w="3255" w:type="pct"/>
            <w:tcBorders>
              <w:top w:val="single" w:color="000000" w:sz="4" w:space="0"/>
              <w:left w:val="single" w:color="000000" w:sz="4" w:space="0"/>
              <w:bottom w:val="single" w:color="000000" w:sz="4" w:space="0"/>
              <w:right w:val="single" w:color="000000" w:sz="4" w:space="0"/>
            </w:tcBorders>
            <w:vAlign w:val="center"/>
          </w:tcPr>
          <w:p w14:paraId="73A76B5E">
            <w:pPr>
              <w:pStyle w:val="4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3、风险赔付保障（2 分）：承诺因乙方操作失误、管理不当造成的现金损失、罚款、投诉损失全额承担，明确赔付标准，得 2 分，未明确不得分</w:t>
            </w:r>
            <w:r>
              <w:rPr>
                <w:rFonts w:hint="eastAsia" w:ascii="宋体" w:hAnsi="宋体" w:eastAsia="宋体" w:cs="宋体"/>
                <w:sz w:val="24"/>
                <w:szCs w:val="24"/>
                <w:lang w:eastAsia="zh-CN"/>
              </w:rPr>
              <w:t>。</w:t>
            </w:r>
          </w:p>
        </w:tc>
        <w:tc>
          <w:tcPr>
            <w:tcW w:w="600" w:type="pct"/>
            <w:tcBorders>
              <w:top w:val="single" w:color="000000" w:sz="4" w:space="0"/>
              <w:left w:val="single" w:color="000000" w:sz="4" w:space="0"/>
              <w:bottom w:val="single" w:color="000000" w:sz="4" w:space="0"/>
              <w:right w:val="single" w:color="000000" w:sz="4" w:space="0"/>
            </w:tcBorders>
            <w:vAlign w:val="center"/>
          </w:tcPr>
          <w:p w14:paraId="43B4F68B">
            <w:pPr>
              <w:widowControl/>
              <w:adjustRightInd w:val="0"/>
              <w:snapToGrid w:val="0"/>
              <w:spacing w:after="200" w:line="220" w:lineRule="atLeast"/>
              <w:jc w:val="center"/>
              <w:textAlignment w:val="center"/>
              <w:rPr>
                <w:rFonts w:hint="default" w:ascii="宋体" w:hAnsi="宋体"/>
                <w:color w:val="000000"/>
                <w:kern w:val="0"/>
                <w:sz w:val="24"/>
                <w:szCs w:val="24"/>
                <w:lang w:val="en-US" w:eastAsia="zh-CN"/>
              </w:rPr>
            </w:pPr>
            <w:r>
              <w:rPr>
                <w:rFonts w:hint="eastAsia" w:ascii="宋体" w:hAnsi="宋体"/>
                <w:color w:val="000000"/>
                <w:kern w:val="0"/>
                <w:sz w:val="24"/>
                <w:szCs w:val="24"/>
                <w:lang w:val="en-US" w:eastAsia="zh-CN"/>
              </w:rPr>
              <w:t>2</w:t>
            </w:r>
          </w:p>
        </w:tc>
      </w:tr>
      <w:tr w14:paraId="1D848CAC">
        <w:tblPrEx>
          <w:tblCellMar>
            <w:top w:w="0" w:type="dxa"/>
            <w:left w:w="108" w:type="dxa"/>
            <w:bottom w:w="0" w:type="dxa"/>
            <w:right w:w="108" w:type="dxa"/>
          </w:tblCellMar>
        </w:tblPrEx>
        <w:trPr>
          <w:trHeight w:val="980" w:hRule="atLeast"/>
        </w:trPr>
        <w:tc>
          <w:tcPr>
            <w:tcW w:w="400" w:type="pct"/>
            <w:tcBorders>
              <w:top w:val="single" w:color="000000" w:sz="4" w:space="0"/>
              <w:left w:val="single" w:color="000000" w:sz="4" w:space="0"/>
              <w:bottom w:val="single" w:color="000000" w:sz="4" w:space="0"/>
              <w:right w:val="single" w:color="000000" w:sz="4" w:space="0"/>
            </w:tcBorders>
            <w:vAlign w:val="center"/>
          </w:tcPr>
          <w:p w14:paraId="273A55C9">
            <w:pPr>
              <w:widowControl/>
              <w:adjustRightInd w:val="0"/>
              <w:snapToGrid w:val="0"/>
              <w:spacing w:after="200" w:line="220" w:lineRule="atLeast"/>
              <w:jc w:val="center"/>
              <w:textAlignment w:val="center"/>
              <w:rPr>
                <w:rFonts w:hint="eastAsia" w:ascii="宋体" w:hAnsi="宋体"/>
                <w:color w:val="000000"/>
                <w:kern w:val="0"/>
                <w:sz w:val="24"/>
                <w:szCs w:val="24"/>
              </w:rPr>
            </w:pPr>
          </w:p>
        </w:tc>
        <w:tc>
          <w:tcPr>
            <w:tcW w:w="744" w:type="pct"/>
            <w:tcBorders>
              <w:top w:val="single" w:color="000000" w:sz="4" w:space="0"/>
              <w:left w:val="single" w:color="000000" w:sz="4" w:space="0"/>
              <w:bottom w:val="single" w:color="000000" w:sz="4" w:space="0"/>
              <w:right w:val="single" w:color="000000" w:sz="4" w:space="0"/>
            </w:tcBorders>
            <w:vAlign w:val="center"/>
          </w:tcPr>
          <w:p w14:paraId="263A53FC">
            <w:pPr>
              <w:widowControl/>
              <w:adjustRightInd w:val="0"/>
              <w:snapToGrid w:val="0"/>
              <w:spacing w:after="200" w:line="220" w:lineRule="atLeast"/>
              <w:jc w:val="left"/>
              <w:textAlignment w:val="center"/>
              <w:rPr>
                <w:rFonts w:hint="eastAsia" w:ascii="宋体" w:hAnsi="宋体"/>
                <w:color w:val="000000"/>
                <w:kern w:val="0"/>
                <w:sz w:val="24"/>
                <w:szCs w:val="24"/>
              </w:rPr>
            </w:pPr>
            <w:r>
              <w:rPr>
                <w:rFonts w:ascii="宋体" w:hAnsi="宋体" w:eastAsia="宋体" w:cs="宋体"/>
                <w:sz w:val="24"/>
                <w:szCs w:val="24"/>
              </w:rPr>
              <w:t>项目业绩（</w:t>
            </w:r>
            <w:r>
              <w:rPr>
                <w:rFonts w:hint="eastAsia" w:ascii="宋体" w:hAnsi="宋体" w:eastAsia="宋体" w:cs="宋体"/>
                <w:sz w:val="24"/>
                <w:szCs w:val="24"/>
                <w:lang w:val="en-US" w:eastAsia="zh-CN"/>
              </w:rPr>
              <w:t>9</w:t>
            </w:r>
            <w:r>
              <w:rPr>
                <w:rFonts w:ascii="宋体" w:hAnsi="宋体" w:eastAsia="宋体" w:cs="宋体"/>
                <w:sz w:val="24"/>
                <w:szCs w:val="24"/>
              </w:rPr>
              <w:t>分）</w:t>
            </w:r>
          </w:p>
        </w:tc>
        <w:tc>
          <w:tcPr>
            <w:tcW w:w="3255" w:type="pct"/>
            <w:tcBorders>
              <w:top w:val="single" w:color="000000" w:sz="4" w:space="0"/>
              <w:left w:val="single" w:color="000000" w:sz="4" w:space="0"/>
              <w:bottom w:val="single" w:color="000000" w:sz="4" w:space="0"/>
              <w:right w:val="single" w:color="000000" w:sz="4" w:space="0"/>
            </w:tcBorders>
            <w:vAlign w:val="center"/>
          </w:tcPr>
          <w:p w14:paraId="06DE9861">
            <w:pPr>
              <w:spacing w:line="440" w:lineRule="exact"/>
              <w:ind w:firstLine="480" w:firstLineChars="200"/>
              <w:jc w:val="left"/>
              <w:rPr>
                <w:rFonts w:hint="eastAsia" w:ascii="宋体" w:hAnsi="Times New Roman" w:eastAsia="宋体" w:cs="Times New Roman"/>
                <w:sz w:val="24"/>
                <w:szCs w:val="24"/>
              </w:rPr>
            </w:pPr>
            <w:r>
              <w:rPr>
                <w:rFonts w:hint="eastAsia" w:ascii="宋体" w:hAnsi="宋体" w:eastAsia="宋体" w:cs="宋体"/>
                <w:sz w:val="24"/>
                <w:szCs w:val="24"/>
              </w:rPr>
              <w:t>近3年内银行机构现金清分外包服务业绩，每提供1份有效合同得3分，最高9分。优先认可江苏省内农商行、农信系统同类业绩，需提供合同复印件（含关键页），可附验收证明；虚假业绩本项不得分</w:t>
            </w:r>
          </w:p>
        </w:tc>
        <w:tc>
          <w:tcPr>
            <w:tcW w:w="600" w:type="pct"/>
            <w:tcBorders>
              <w:top w:val="single" w:color="000000" w:sz="4" w:space="0"/>
              <w:left w:val="single" w:color="000000" w:sz="4" w:space="0"/>
              <w:bottom w:val="single" w:color="000000" w:sz="4" w:space="0"/>
              <w:right w:val="single" w:color="000000" w:sz="4" w:space="0"/>
            </w:tcBorders>
            <w:vAlign w:val="center"/>
          </w:tcPr>
          <w:p w14:paraId="4D271419">
            <w:pPr>
              <w:widowControl/>
              <w:adjustRightInd w:val="0"/>
              <w:snapToGrid w:val="0"/>
              <w:spacing w:after="200" w:line="220" w:lineRule="atLeast"/>
              <w:jc w:val="center"/>
              <w:textAlignment w:val="center"/>
              <w:rPr>
                <w:rFonts w:hint="eastAsia" w:ascii="宋体" w:hAnsi="宋体" w:eastAsia="宋体"/>
                <w:color w:val="000000"/>
                <w:kern w:val="0"/>
                <w:sz w:val="24"/>
                <w:szCs w:val="24"/>
                <w:lang w:val="en-US" w:eastAsia="zh-CN"/>
              </w:rPr>
            </w:pPr>
            <w:r>
              <w:rPr>
                <w:rFonts w:hint="eastAsia" w:ascii="宋体" w:hAnsi="宋体"/>
                <w:color w:val="000000"/>
                <w:kern w:val="0"/>
                <w:sz w:val="24"/>
                <w:szCs w:val="24"/>
                <w:lang w:val="en-US" w:eastAsia="zh-CN"/>
              </w:rPr>
              <w:t>9</w:t>
            </w:r>
          </w:p>
        </w:tc>
      </w:tr>
    </w:tbl>
    <w:p w14:paraId="0397521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注：响应文件中未提供评分标准中涉及的证书证明等资料复印件（加盖响应人公章）</w:t>
      </w:r>
    </w:p>
    <w:p w14:paraId="008E1E4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rPr>
      </w:pPr>
      <w:r>
        <w:rPr>
          <w:rFonts w:hint="eastAsia" w:ascii="宋体" w:hAnsi="宋体" w:eastAsia="宋体" w:cs="宋体"/>
          <w:sz w:val="24"/>
        </w:rPr>
        <w:t>的，相应条款不得分。</w:t>
      </w:r>
    </w:p>
    <w:p w14:paraId="1B00B6FA">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评标委员会根据投标人综合得分，由高到低顺序排列，投标文件满足招标文件全部实质性要求，且按照评审因素的量化指标评审得分最高的投标人为排名第一的中标候选人。</w:t>
      </w:r>
    </w:p>
    <w:p w14:paraId="75058200">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24.4磋商结束后，成交结果将在网上进行公告。磋商供应商对采购过程和成交结果有质疑的必须在相关法律法规规定的时间内提出。</w:t>
      </w:r>
    </w:p>
    <w:p w14:paraId="73D025F4">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24.5成交候选人在公示期间，如经查实从参加该成交项目之日起计算所参加的政府采购活动前三年内，在经营活动中有行贿犯罪记录的，采购人将取消其成交候选人资格。</w:t>
      </w:r>
    </w:p>
    <w:p w14:paraId="175080C1">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25.磋商过程保密</w:t>
      </w:r>
    </w:p>
    <w:p w14:paraId="1ABE843A">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25.1在宣布确定成交之前，凡属于审查、澄清、磋商、比较响应文件和确定成交意向等有关信息，均不得泄露给任何与磋商工作无关的人员。</w:t>
      </w:r>
    </w:p>
    <w:p w14:paraId="17B8AAAB">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25.2磋商供应商不得探听上述信息，不得以任何行为影响磋商过程，否则将被取消成交资格。</w:t>
      </w:r>
    </w:p>
    <w:p w14:paraId="06CC9A1E">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25.3在磋商期间，采购人将指定联络员与磋商供应商进行联络。</w:t>
      </w:r>
    </w:p>
    <w:p w14:paraId="22907AA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六、确定成交及签订合同</w:t>
      </w:r>
    </w:p>
    <w:p w14:paraId="30DBCD5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26.确定成交供应商</w:t>
      </w:r>
    </w:p>
    <w:p w14:paraId="212AA499">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26.1采购人将从磋商小组推荐的符合采购需求的成交候选人中按排名先后确定成交供应商。</w:t>
      </w:r>
    </w:p>
    <w:p w14:paraId="5B5DAF57">
      <w:pPr>
        <w:pStyle w:val="26"/>
        <w:keepNext w:val="0"/>
        <w:keepLines w:val="0"/>
        <w:pageBreakBefore w:val="0"/>
        <w:widowControl w:val="0"/>
        <w:kinsoku/>
        <w:wordWrap/>
        <w:overflowPunct/>
        <w:topLinePunct w:val="0"/>
        <w:autoSpaceDE/>
        <w:autoSpaceDN/>
        <w:bidi w:val="0"/>
        <w:adjustRightInd/>
        <w:snapToGrid/>
        <w:spacing w:after="0" w:line="420" w:lineRule="exact"/>
        <w:ind w:left="0" w:leftChars="0"/>
        <w:textAlignment w:val="auto"/>
        <w:rPr>
          <w:rFonts w:hint="eastAsia" w:ascii="宋体" w:hAnsi="宋体" w:eastAsia="宋体" w:cs="宋体"/>
          <w:b/>
          <w:bCs/>
          <w:sz w:val="28"/>
          <w:szCs w:val="28"/>
        </w:rPr>
      </w:pPr>
      <w:r>
        <w:rPr>
          <w:rFonts w:hint="eastAsia" w:ascii="宋体" w:hAnsi="宋体" w:eastAsia="宋体" w:cs="宋体"/>
          <w:b/>
          <w:bCs/>
          <w:sz w:val="28"/>
          <w:szCs w:val="28"/>
        </w:rPr>
        <w:t>27. 采购人有接受和拒绝任何或所有磋商文件的权利</w:t>
      </w:r>
    </w:p>
    <w:p w14:paraId="24A772AC">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28.采购人保留在确定成交之前任何时候接受和拒绝任何磋商文件，宣布磋商程序无效或拒绝所有磋商的权利，对受影响的磋商供应商不承担任何责任，也无义务向磋商供应商解释采取这一行动的原因和理由。</w:t>
      </w:r>
    </w:p>
    <w:p w14:paraId="5CB88A12">
      <w:pPr>
        <w:keepNext w:val="0"/>
        <w:keepLines w:val="0"/>
        <w:pageBreakBefore w:val="0"/>
        <w:widowControl w:val="0"/>
        <w:tabs>
          <w:tab w:val="left" w:pos="9741"/>
        </w:tabs>
        <w:kinsoku/>
        <w:wordWrap/>
        <w:overflowPunct/>
        <w:topLinePunct w:val="0"/>
        <w:autoSpaceDE/>
        <w:autoSpaceDN/>
        <w:bidi w:val="0"/>
        <w:adjustRightInd/>
        <w:snapToGrid/>
        <w:spacing w:line="42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29.采购人在确定成交时变更采购服务内容的权利</w:t>
      </w:r>
    </w:p>
    <w:p w14:paraId="177C60B0">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color w:val="000000"/>
          <w:sz w:val="28"/>
          <w:szCs w:val="28"/>
        </w:rPr>
        <w:t xml:space="preserve">  </w:t>
      </w:r>
      <w:r>
        <w:rPr>
          <w:rFonts w:hint="eastAsia" w:ascii="宋体" w:hAnsi="宋体" w:eastAsia="宋体" w:cs="宋体"/>
          <w:sz w:val="24"/>
        </w:rPr>
        <w:t>采购人在确定成交时有权对本次采购清单中所述服务内容根据自己需求进行合理变更。</w:t>
      </w:r>
    </w:p>
    <w:p w14:paraId="43A9D70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30.成交通知书</w:t>
      </w:r>
    </w:p>
    <w:p w14:paraId="602D555B">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30.1在磋商结束后三个工作日内，采购人向成交供应商发出成交通知书。</w:t>
      </w:r>
    </w:p>
    <w:p w14:paraId="0D316C88">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 xml:space="preserve">  30.2成交供应商在接到采购人通知后五个工作日内必须到代理单位领取成交通知书。</w:t>
      </w:r>
    </w:p>
    <w:p w14:paraId="2D367982">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 xml:space="preserve">  30.3成交通知书对采购人及成交供应商同时均具法律效力。</w:t>
      </w:r>
    </w:p>
    <w:p w14:paraId="2D25EE98">
      <w:pPr>
        <w:keepNext w:val="0"/>
        <w:keepLines w:val="0"/>
        <w:pageBreakBefore w:val="0"/>
        <w:widowControl w:val="0"/>
        <w:tabs>
          <w:tab w:val="left" w:pos="9741"/>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31.签订合同</w:t>
      </w:r>
    </w:p>
    <w:p w14:paraId="00716500">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31.1成交人应在成交通知书发出之日起十</w:t>
      </w:r>
      <w:r>
        <w:rPr>
          <w:rFonts w:hint="eastAsia" w:ascii="宋体" w:hAnsi="宋体" w:cs="宋体"/>
          <w:sz w:val="24"/>
          <w:lang w:val="en-US" w:eastAsia="zh-CN"/>
        </w:rPr>
        <w:t>二</w:t>
      </w:r>
      <w:r>
        <w:rPr>
          <w:rFonts w:hint="eastAsia" w:ascii="宋体" w:hAnsi="宋体" w:eastAsia="宋体" w:cs="宋体"/>
          <w:sz w:val="24"/>
        </w:rPr>
        <w:t>日内与采购人签订合同。磋商文件、成交人的响应文件及澄清文件等，均为合同的组成部分。</w:t>
      </w:r>
    </w:p>
    <w:p w14:paraId="17929FEB">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 xml:space="preserve">  31.2成交人自成交通知书发出之日起三十日内无正当理由不与采购人签订合同的，将取消中标人资格并没收投标保证金。</w:t>
      </w:r>
    </w:p>
    <w:p w14:paraId="378A697E">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 xml:space="preserve">  31.3成交人若无正当理由放弃成交资格或不按期履行相关义务的，采购人将有充分理由取消该授标。采购人重新招标。</w:t>
      </w:r>
    </w:p>
    <w:p w14:paraId="21A2A803">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 xml:space="preserve">  31.4磋商文件、成交供应商的响应文件、对响应文件的书面澄清、成交通知书、成交供应商回执等均为签订合同依据。</w:t>
      </w:r>
    </w:p>
    <w:p w14:paraId="39999E96">
      <w:pPr>
        <w:keepNext w:val="0"/>
        <w:keepLines w:val="0"/>
        <w:pageBreakBefore w:val="0"/>
        <w:widowControl w:val="0"/>
        <w:tabs>
          <w:tab w:val="left" w:pos="9741"/>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32、质疑处理</w:t>
      </w:r>
    </w:p>
    <w:p w14:paraId="7DAF125A">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32.1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w:t>
      </w:r>
    </w:p>
    <w:p w14:paraId="4FCE858C">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32.2质疑供应商是指直接参加本项目采购活动的供应商；对采购文件提出质疑的，应自采购文件公告期满之日起计算，且应当在投标截止之日前提出；对采购过程提出质疑的，自采购程序环节结束之日起计算；对成交结果提出质疑的，自成交结果公告之日起计算。</w:t>
      </w:r>
    </w:p>
    <w:p w14:paraId="3A9F8BE3">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32.3供应商提出书面质疑必须有理、有据，不得恶意质疑或提交虚假质疑。否则，一经查实，采购人（采购代理机构）有权依据政府采购的有关规定，报请政府采购监管部门对该供应商列入失信行为或不良行为记录名单，进行相应的行政处罚。</w:t>
      </w:r>
    </w:p>
    <w:p w14:paraId="6D9E454F">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32.4质疑必须由供应商的法定代表人（或单位负责人）或授权代表[投标文件中所确定的，如递交质疑者不是投标文件中确定的授权代表，须由供应商另行出具授权（授权中必须载明具体权限和事项）]以送达或邮寄的方式提交，未按上述要求提交的质疑函（含传真、电子邮件等）采购人（采购代理机构）有权不予受理。</w:t>
      </w:r>
    </w:p>
    <w:p w14:paraId="32FC0028">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32.5质疑函应当包括以下主要内容，并按照“谁主张、谁举证”的原则，附上相关证明材料。否则，采购人（采购代理机构）不予受理。</w:t>
      </w:r>
    </w:p>
    <w:p w14:paraId="310E4112">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（1）质疑供应商的名称、地址、邮编、联系人、联系电话（包括座机、手机、传真号码等）；</w:t>
      </w:r>
    </w:p>
    <w:p w14:paraId="585F22D5">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（2）具体的质疑事项及事实根据（具体条款）；</w:t>
      </w:r>
    </w:p>
    <w:p w14:paraId="0BBD0E2A">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5BBBCF44">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（4）提起质疑的日期；</w:t>
      </w:r>
    </w:p>
    <w:p w14:paraId="68A8974A">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（5）质疑函应当署名:应当由法定代表人签字并加盖单位公章。</w:t>
      </w:r>
    </w:p>
    <w:p w14:paraId="33B0B3E8">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32.6采购人（采购代理机构）收到质疑函后，将对质疑的形式和内容进行审查，如质疑函内容、格式不符合规定，采购人（采购代理机构）将告知质疑人进行补正。</w:t>
      </w:r>
    </w:p>
    <w:p w14:paraId="214AAD98">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质疑人应当在法定质疑期限内进行补正并重新提交质疑函，拒不补正或者超过法定期限后未重新提交质疑函的，为无效质疑，采购人（采购代理机构）有权不予受理。</w:t>
      </w:r>
    </w:p>
    <w:p w14:paraId="7F0CF2C5">
      <w:pPr>
        <w:keepNext w:val="0"/>
        <w:keepLines w:val="0"/>
        <w:pageBreakBefore w:val="0"/>
        <w:widowControl w:val="0"/>
        <w:kinsoku/>
        <w:wordWrap/>
        <w:overflowPunct/>
        <w:topLinePunct w:val="0"/>
        <w:autoSpaceDE/>
        <w:autoSpaceDN/>
        <w:bidi w:val="0"/>
        <w:adjustRightInd/>
        <w:snapToGrid/>
        <w:spacing w:line="420" w:lineRule="exact"/>
        <w:ind w:firstLine="540"/>
        <w:textAlignment w:val="auto"/>
        <w:rPr>
          <w:rFonts w:hint="eastAsia" w:ascii="宋体" w:hAnsi="宋体" w:eastAsia="宋体" w:cs="宋体"/>
          <w:sz w:val="24"/>
        </w:rPr>
      </w:pPr>
      <w:r>
        <w:rPr>
          <w:rFonts w:hint="eastAsia" w:ascii="宋体" w:hAnsi="宋体" w:eastAsia="宋体" w:cs="宋体"/>
          <w:sz w:val="24"/>
        </w:rPr>
        <w:t>32.7对于内容、格式符合规定的质疑函，采购人（采购代理机构）将在七个工作日内以书面形式作出答复。产生调查论证费用的，遵循“谁过错谁负担”的原则，有过错的一方承担调查论证费用。</w:t>
      </w:r>
    </w:p>
    <w:p w14:paraId="2CFA52CA">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sz w:val="36"/>
          <w:szCs w:val="36"/>
          <w:highlight w:val="red"/>
        </w:rPr>
      </w:pPr>
    </w:p>
    <w:p w14:paraId="592F743D">
      <w:pPr>
        <w:adjustRightInd w:val="0"/>
        <w:snapToGrid w:val="0"/>
        <w:spacing w:line="360" w:lineRule="auto"/>
        <w:jc w:val="center"/>
        <w:rPr>
          <w:rFonts w:hint="eastAsia" w:ascii="宋体" w:hAnsi="宋体" w:eastAsia="宋体" w:cs="宋体"/>
          <w:b/>
          <w:sz w:val="36"/>
          <w:szCs w:val="36"/>
        </w:rPr>
      </w:pPr>
    </w:p>
    <w:p w14:paraId="19851B57">
      <w:pPr>
        <w:adjustRightInd w:val="0"/>
        <w:snapToGrid w:val="0"/>
        <w:spacing w:line="360" w:lineRule="auto"/>
        <w:jc w:val="center"/>
        <w:rPr>
          <w:rFonts w:hint="default" w:ascii="宋体" w:hAnsi="宋体" w:eastAsia="宋体" w:cs="宋体"/>
          <w:b/>
          <w:sz w:val="36"/>
          <w:szCs w:val="36"/>
          <w:lang w:val="en-US" w:eastAsia="zh-CN"/>
        </w:rPr>
      </w:pPr>
      <w:r>
        <w:rPr>
          <w:rFonts w:hint="eastAsia" w:ascii="宋体" w:hAnsi="宋体" w:eastAsia="宋体" w:cs="宋体"/>
          <w:b/>
          <w:sz w:val="36"/>
          <w:szCs w:val="36"/>
        </w:rPr>
        <w:t>第三篇：</w:t>
      </w:r>
      <w:r>
        <w:rPr>
          <w:rFonts w:hint="eastAsia" w:ascii="宋体" w:hAnsi="宋体" w:eastAsia="宋体" w:cs="宋体"/>
          <w:b/>
          <w:sz w:val="36"/>
          <w:szCs w:val="36"/>
          <w:lang w:val="en-US" w:eastAsia="zh-CN"/>
        </w:rPr>
        <w:t>采购需求</w:t>
      </w:r>
    </w:p>
    <w:p w14:paraId="4D567D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作业管理：外包方须服从盱眙农商行业务安排，现金作业所有环节必须在监控下进行。</w:t>
      </w:r>
    </w:p>
    <w:p w14:paraId="017BF5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现金交接：现金款项交接严格执行现金出入库制度，严密交接手续；交接过程双方各两人（及以上）卡把验收无误后，4 人签字确认。</w:t>
      </w:r>
    </w:p>
    <w:p w14:paraId="1FEF28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整点质量：整点现金执行 “五好钱捆” 标准：点准、挑净（剔残、假币）、墩齐、捆紧、盖章清楚。</w:t>
      </w:r>
    </w:p>
    <w:p w14:paraId="2FE788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ATM 配钞：ATM 加钞现金为 7-8 成新人民币，无破损、无断裂、无透明胶纸粘贴、无皱折卷角；禁止直接使用原装新钞和潮湿现钞。</w:t>
      </w:r>
    </w:p>
    <w:p w14:paraId="248438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差错处理：现金整点工作产生差错，确认属外包方责任的，外包方须及时赔偿，并按合同约定对相关责任人员处罚。</w:t>
      </w:r>
    </w:p>
    <w:p w14:paraId="1D577E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驻场人员：外包方提供驻场清分人员不少于4 名；人员高中以上学历，持有反假货币资格证书，保障人员稳定性。</w:t>
      </w:r>
    </w:p>
    <w:p w14:paraId="2C68C32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工作量标准：在银行现金量充足情况下，员工每日基本工作量：完整券50捆/人/天，或机器残损券30 捆/人/天，或手工残损券15捆/人/天；春节等业务高峰期应增加作业保障。</w:t>
      </w:r>
    </w:p>
    <w:p w14:paraId="310AD1C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pPr>
      <w:r>
        <w:rPr>
          <w:rFonts w:hint="eastAsia" w:ascii="宋体" w:hAnsi="宋体" w:cs="宋体"/>
          <w:sz w:val="24"/>
          <w:szCs w:val="24"/>
          <w:lang w:val="en-US" w:eastAsia="zh-CN"/>
        </w:rPr>
        <w:t>8、</w:t>
      </w:r>
      <w:r>
        <w:rPr>
          <w:rFonts w:hint="eastAsia" w:ascii="宋体" w:hAnsi="宋体" w:eastAsia="宋体" w:cs="宋体"/>
          <w:sz w:val="24"/>
          <w:szCs w:val="24"/>
        </w:rPr>
        <w:t>监管合规：外包服务须满足当地人民银行现金清分流程、清分质量相关要求。</w:t>
      </w:r>
    </w:p>
    <w:p w14:paraId="220198F5">
      <w:pPr>
        <w:spacing w:line="440" w:lineRule="exact"/>
        <w:jc w:val="center"/>
        <w:rPr>
          <w:rFonts w:hint="eastAsia" w:ascii="宋体" w:hAnsi="宋体" w:eastAsia="宋体" w:cs="宋体"/>
          <w:b/>
          <w:sz w:val="32"/>
          <w:szCs w:val="32"/>
        </w:rPr>
      </w:pPr>
      <w:r>
        <w:rPr>
          <w:rFonts w:hint="eastAsia" w:ascii="仿宋_GB2312" w:hAnsi="仿宋_GB2312" w:eastAsia="仿宋_GB2312" w:cs="仿宋_GB2312"/>
          <w:sz w:val="32"/>
          <w:szCs w:val="32"/>
        </w:rPr>
        <w:br w:type="textWrapping"/>
      </w:r>
    </w:p>
    <w:p w14:paraId="1330ACE1">
      <w:pPr>
        <w:spacing w:line="440" w:lineRule="exact"/>
        <w:jc w:val="center"/>
        <w:rPr>
          <w:rFonts w:hint="eastAsia" w:ascii="宋体" w:hAnsi="宋体" w:eastAsia="宋体" w:cs="宋体"/>
          <w:b/>
          <w:sz w:val="32"/>
          <w:szCs w:val="32"/>
        </w:rPr>
      </w:pPr>
    </w:p>
    <w:p w14:paraId="208E15E6">
      <w:pPr>
        <w:spacing w:line="440" w:lineRule="exact"/>
        <w:jc w:val="center"/>
        <w:rPr>
          <w:rFonts w:hint="eastAsia" w:ascii="宋体" w:hAnsi="宋体" w:eastAsia="宋体" w:cs="宋体"/>
          <w:b/>
          <w:sz w:val="32"/>
          <w:szCs w:val="32"/>
        </w:rPr>
      </w:pPr>
    </w:p>
    <w:p w14:paraId="3AE6487C">
      <w:pPr>
        <w:spacing w:line="440" w:lineRule="exact"/>
        <w:jc w:val="center"/>
        <w:rPr>
          <w:rFonts w:hint="eastAsia" w:ascii="宋体" w:hAnsi="宋体" w:eastAsia="宋体" w:cs="宋体"/>
          <w:b/>
          <w:sz w:val="32"/>
          <w:szCs w:val="32"/>
        </w:rPr>
      </w:pPr>
    </w:p>
    <w:p w14:paraId="6CF178EF">
      <w:pPr>
        <w:spacing w:line="440" w:lineRule="exact"/>
        <w:jc w:val="both"/>
        <w:rPr>
          <w:rFonts w:hint="eastAsia" w:ascii="宋体" w:hAnsi="宋体" w:eastAsia="宋体" w:cs="宋体"/>
          <w:b/>
          <w:sz w:val="32"/>
          <w:szCs w:val="32"/>
        </w:rPr>
      </w:pPr>
    </w:p>
    <w:p w14:paraId="35ABA95B">
      <w:pPr>
        <w:spacing w:line="440" w:lineRule="exact"/>
        <w:jc w:val="both"/>
        <w:rPr>
          <w:rFonts w:hint="eastAsia" w:ascii="宋体" w:hAnsi="宋体" w:eastAsia="宋体" w:cs="宋体"/>
          <w:b/>
          <w:sz w:val="32"/>
          <w:szCs w:val="32"/>
        </w:rPr>
      </w:pPr>
    </w:p>
    <w:p w14:paraId="6E88C06D">
      <w:pPr>
        <w:spacing w:line="440" w:lineRule="exact"/>
        <w:jc w:val="both"/>
        <w:rPr>
          <w:rFonts w:hint="eastAsia" w:ascii="宋体" w:hAnsi="宋体" w:eastAsia="宋体" w:cs="宋体"/>
          <w:b/>
          <w:sz w:val="32"/>
          <w:szCs w:val="32"/>
        </w:rPr>
      </w:pPr>
    </w:p>
    <w:p w14:paraId="3DACDBF0">
      <w:pPr>
        <w:pStyle w:val="47"/>
        <w:rPr>
          <w:rFonts w:hint="eastAsia" w:ascii="宋体" w:hAnsi="宋体" w:eastAsia="宋体" w:cs="宋体"/>
          <w:b/>
          <w:sz w:val="32"/>
          <w:szCs w:val="32"/>
        </w:rPr>
      </w:pPr>
    </w:p>
    <w:p w14:paraId="3FD404D9">
      <w:pPr>
        <w:rPr>
          <w:rFonts w:hint="eastAsia" w:ascii="宋体" w:hAnsi="宋体" w:eastAsia="宋体" w:cs="宋体"/>
          <w:b/>
          <w:sz w:val="32"/>
          <w:szCs w:val="32"/>
        </w:rPr>
      </w:pPr>
    </w:p>
    <w:p w14:paraId="2D5AFE70">
      <w:pPr>
        <w:spacing w:line="440" w:lineRule="exact"/>
        <w:jc w:val="center"/>
        <w:rPr>
          <w:rFonts w:hint="eastAsia" w:ascii="宋体" w:hAnsi="宋体" w:eastAsia="宋体" w:cs="宋体"/>
        </w:rPr>
      </w:pPr>
      <w:r>
        <w:rPr>
          <w:rFonts w:hint="eastAsia" w:ascii="宋体" w:hAnsi="宋体" w:eastAsia="宋体" w:cs="宋体"/>
          <w:b/>
          <w:sz w:val="32"/>
          <w:szCs w:val="32"/>
        </w:rPr>
        <w:t>第四篇：</w:t>
      </w:r>
      <w:r>
        <w:rPr>
          <w:rFonts w:hint="eastAsia" w:ascii="宋体" w:hAnsi="宋体" w:eastAsia="宋体" w:cs="宋体"/>
          <w:b/>
          <w:sz w:val="32"/>
        </w:rPr>
        <w:t>合同条款</w:t>
      </w:r>
    </w:p>
    <w:p w14:paraId="1C0784B5">
      <w:pPr>
        <w:pStyle w:val="222"/>
        <w:spacing w:line="700" w:lineRule="exact"/>
        <w:jc w:val="center"/>
        <w:rPr>
          <w:rFonts w:hint="eastAsia" w:ascii="宋体" w:hAnsi="宋体" w:eastAsia="宋体" w:cs="宋体"/>
        </w:rPr>
      </w:pPr>
      <w:r>
        <w:rPr>
          <w:rFonts w:hint="eastAsia" w:ascii="宋体" w:hAnsi="宋体" w:eastAsia="宋体" w:cs="宋体"/>
          <w:b/>
          <w:color w:val="FF0000"/>
          <w:sz w:val="24"/>
          <w:szCs w:val="24"/>
        </w:rPr>
        <w:t>合同文本最终条款以经</w:t>
      </w:r>
      <w:r>
        <w:rPr>
          <w:rFonts w:hint="eastAsia" w:ascii="宋体" w:hAnsi="宋体" w:eastAsia="宋体" w:cs="宋体"/>
          <w:b/>
          <w:color w:val="FF0000"/>
          <w:sz w:val="24"/>
          <w:szCs w:val="24"/>
          <w:lang w:val="en-US" w:eastAsia="zh-CN"/>
        </w:rPr>
        <w:t>江苏盱眙农村商业</w:t>
      </w:r>
      <w:r>
        <w:rPr>
          <w:rFonts w:hint="eastAsia" w:ascii="宋体" w:hAnsi="宋体" w:eastAsia="宋体" w:cs="宋体"/>
          <w:b/>
          <w:color w:val="FF0000"/>
          <w:sz w:val="24"/>
          <w:szCs w:val="24"/>
        </w:rPr>
        <w:t>银行审核为准。</w:t>
      </w:r>
    </w:p>
    <w:p w14:paraId="5E93BD8E">
      <w:pPr>
        <w:jc w:val="center"/>
        <w:rPr>
          <w:rFonts w:hint="eastAsia" w:ascii="微软雅黑" w:hAnsi="微软雅黑" w:eastAsia="微软雅黑" w:cs="Times New Roman"/>
          <w:b/>
          <w:sz w:val="48"/>
          <w:szCs w:val="48"/>
          <w:lang w:val="en-US" w:eastAsia="zh-CN"/>
        </w:rPr>
      </w:pPr>
      <w:r>
        <w:rPr>
          <w:rFonts w:hint="eastAsia" w:ascii="微软雅黑" w:hAnsi="微软雅黑" w:eastAsia="微软雅黑" w:cs="Times New Roman"/>
          <w:b/>
          <w:sz w:val="48"/>
          <w:szCs w:val="48"/>
          <w:lang w:val="en-US" w:eastAsia="zh-CN"/>
        </w:rPr>
        <w:t>江苏盱眙农村商业银行</w:t>
      </w:r>
    </w:p>
    <w:p w14:paraId="24188477">
      <w:pPr>
        <w:jc w:val="center"/>
        <w:rPr>
          <w:rFonts w:ascii="微软雅黑" w:hAnsi="微软雅黑" w:eastAsia="微软雅黑"/>
          <w:b/>
          <w:sz w:val="48"/>
          <w:szCs w:val="48"/>
        </w:rPr>
      </w:pPr>
      <w:r>
        <w:rPr>
          <w:rFonts w:hint="eastAsia" w:ascii="微软雅黑" w:hAnsi="微软雅黑" w:eastAsia="微软雅黑" w:cs="Times New Roman"/>
          <w:b/>
          <w:sz w:val="48"/>
          <w:szCs w:val="48"/>
          <w:lang w:val="en-US" w:eastAsia="zh-CN"/>
        </w:rPr>
        <w:t>现金清分外包服务采购项目</w:t>
      </w:r>
      <w:r>
        <w:rPr>
          <w:rFonts w:ascii="微软雅黑" w:hAnsi="微软雅黑" w:eastAsia="微软雅黑"/>
          <w:b/>
          <w:sz w:val="48"/>
          <w:szCs w:val="48"/>
        </w:rPr>
        <w:t>委托合同书</w:t>
      </w:r>
    </w:p>
    <w:p w14:paraId="09CB656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Cs/>
          <w:kern w:val="0"/>
          <w:sz w:val="24"/>
        </w:rPr>
      </w:pPr>
      <w:r>
        <w:rPr>
          <w:rFonts w:hint="eastAsia" w:ascii="微软雅黑" w:hAnsi="微软雅黑" w:eastAsia="微软雅黑" w:cs="微软雅黑"/>
          <w:bCs/>
          <w:kern w:val="0"/>
          <w:sz w:val="24"/>
        </w:rPr>
        <w:t xml:space="preserve"> </w:t>
      </w:r>
    </w:p>
    <w:p w14:paraId="3A66CBD6">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Style w:val="51"/>
          <w:rFonts w:hint="eastAsia" w:ascii="宋体" w:hAnsi="宋体" w:eastAsia="宋体" w:cs="宋体"/>
          <w:kern w:val="0"/>
          <w:sz w:val="24"/>
          <w:szCs w:val="24"/>
          <w:lang w:val="en-US" w:eastAsia="zh-CN" w:bidi="ar"/>
        </w:rPr>
        <w:t>甲方（采购人/委托方）</w:t>
      </w:r>
      <w:r>
        <w:rPr>
          <w:rFonts w:hint="eastAsia" w:ascii="宋体" w:hAnsi="宋体" w:eastAsia="宋体" w:cs="宋体"/>
          <w:kern w:val="0"/>
          <w:sz w:val="24"/>
          <w:szCs w:val="24"/>
          <w:lang w:val="en-US" w:eastAsia="zh-CN" w:bidi="ar"/>
        </w:rPr>
        <w:t>：江苏盱眙农村商业银行股份有限公司</w:t>
      </w:r>
    </w:p>
    <w:p w14:paraId="0C163A8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Style w:val="51"/>
          <w:rFonts w:hint="eastAsia" w:ascii="宋体" w:hAnsi="宋体" w:eastAsia="宋体" w:cs="宋体"/>
          <w:kern w:val="0"/>
          <w:sz w:val="24"/>
          <w:szCs w:val="24"/>
          <w:lang w:val="en-US" w:eastAsia="zh-CN" w:bidi="ar"/>
        </w:rPr>
        <w:t>乙方（服务商/受托方）</w:t>
      </w:r>
      <w:r>
        <w:rPr>
          <w:rFonts w:hint="eastAsia" w:ascii="宋体" w:hAnsi="宋体" w:eastAsia="宋体" w:cs="宋体"/>
          <w:kern w:val="0"/>
          <w:sz w:val="24"/>
          <w:szCs w:val="24"/>
          <w:lang w:val="en-US" w:eastAsia="zh-CN" w:bidi="ar"/>
        </w:rPr>
        <w:t>：________________________</w:t>
      </w:r>
    </w:p>
    <w:p w14:paraId="46E0767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中华人民共和国民法典》《银行业金融机构外包风险管理指引》《人民币现金机具鉴别能力技术规范》及人民银行现金清分、整点管理相关规定，甲乙双方本着平等自愿、公平诚信、权责统一的原则，就甲方现金清分外包服务事宜，订立本合同，双方共同遵照执行。</w:t>
      </w:r>
    </w:p>
    <w:p w14:paraId="47C5BE9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第一条 服务项目及服务范围</w:t>
      </w:r>
    </w:p>
    <w:p w14:paraId="76E7240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 项目名称：江苏盱眙农村商业银行现金清分外包服务项目。</w:t>
      </w:r>
    </w:p>
    <w:p w14:paraId="52FF4D3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1.2 服务范围：甲方辖内各营业网点、总行现金中心、自助设备产生的所有人民币现金清分、整点、鉴伪、挑残、分类整理、捆扎封签、台账登记、差错核对、残损币归集、自助设备钞币处理、现金复核校验等全套外包服务。</w:t>
      </w:r>
    </w:p>
    <w:p w14:paraId="1614552B">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1.3 服务内容：</w:t>
      </w:r>
    </w:p>
    <w:p w14:paraId="55EFDFFD">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（1）现金清点、真伪鉴别、假币剔除、残损币挑剔、新旧币分类、券别整理；</w:t>
      </w:r>
    </w:p>
    <w:p w14:paraId="11FD012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（2）按照人民银行“五好钱捆”标准完成整点、扎把、打捆、封签、盖章、规范摆放；</w:t>
      </w:r>
    </w:p>
    <w:p w14:paraId="32FDA2BF">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（3）自助设备回钞清点、钞币核对、系统台账登记、差错排查处理；</w:t>
      </w:r>
    </w:p>
    <w:p w14:paraId="2CBCA21F">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（4）清分数据统计、冠字号码留存、每日台账、月度报表提交；</w:t>
      </w:r>
    </w:p>
    <w:p w14:paraId="22D13AA2">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（5）残损币集中归集、分类整理，配合甲方完成人行上缴工作；</w:t>
      </w:r>
    </w:p>
    <w:p w14:paraId="4FD1A4A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（6）甲方交办的其他合规现金清分配套服务。</w:t>
      </w:r>
    </w:p>
    <w:p w14:paraId="52B5D12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第二条 服务期限</w:t>
      </w:r>
    </w:p>
    <w:p w14:paraId="3117E47D">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2.1 本合同服务期限为____年，自____年____月____日起至____年____月____日止。</w:t>
      </w:r>
    </w:p>
    <w:p w14:paraId="551C46B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2.2 合同期满前30日，双方可协商续约事宜，未达成续约的，合同到期自动终止，乙方须完成全部收尾工作、台账移交、人员离场、设备清理，不得影响甲方正常业务运行。</w:t>
      </w:r>
    </w:p>
    <w:p w14:paraId="27F57E7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2.3 服务期内乙方不得擅自停工、撤场、减员减设备，否则视为严重违约。</w:t>
      </w:r>
    </w:p>
    <w:p w14:paraId="4327ECD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第三条 服务标准与质量要求</w:t>
      </w:r>
    </w:p>
    <w:p w14:paraId="6063228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3.1 整体标准：严格遵守中国人民银行现金清分整点管理规定、人民币鉴别标准、五好钱捆制作标准，所有清分现金达到可对外支付、可直接上缴人民银行标准。</w:t>
      </w:r>
    </w:p>
    <w:p w14:paraId="5FC4E3C6">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3.2 核心质量指标：</w:t>
      </w:r>
    </w:p>
    <w:p w14:paraId="2122DEE2">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（1）清分后现金假币留存率为0，杜绝假币混入流通钞；</w:t>
      </w:r>
    </w:p>
    <w:p w14:paraId="29FA8B5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（2）残损币、污损币、不合格券剔除率100%，无漏挑、错留情况；</w:t>
      </w:r>
    </w:p>
    <w:p w14:paraId="7DB2785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（3）账实相符率100%，日清日结，无长短款、无账款不符；</w:t>
      </w:r>
    </w:p>
    <w:p w14:paraId="1BD4D5A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（4）钱捆质量达标，墩齐、捆紧、封签完整、印章清晰、无毛边、无下垂，符合人行验收标准；</w:t>
      </w:r>
    </w:p>
    <w:p w14:paraId="7D288C2D">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（5）冠字号码数据完整留存，保存期限不少于3个月，可随时备查，数据安全无泄露、无丢失。</w:t>
      </w:r>
    </w:p>
    <w:p w14:paraId="124DFA3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3.3 作业规范：全程双人复核、全程台账登记、全程视频监控覆盖，作业流程闭环可追溯。</w:t>
      </w:r>
    </w:p>
    <w:p w14:paraId="172DC23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3.4 抽检要求：甲方有权随时抽查清分质量，抽检比例不低于1%，抽检不合格的，乙方须无条件全部返工，产生的损失由乙方自行承担。</w:t>
      </w:r>
    </w:p>
    <w:p w14:paraId="5FECB56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第四条 人员、设备与场地管理</w:t>
      </w:r>
    </w:p>
    <w:p w14:paraId="6555D70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4.1 人员配置：乙方须配备足额专职常驻清分作业人员，所有人员无违法犯罪记录，经专业现金清分、反假、安全保密培训合格后方可上岗。乙方人员属于乙方正式员工，劳动关系、社保、薪酬全部由乙方承担，与甲方无劳动关系。</w:t>
      </w:r>
    </w:p>
    <w:p w14:paraId="5DCC276B">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4.2 人员管理：乙方须建立考勤、轮岗、保密、行为管理制度，驻场人员严格遵守甲方考勤及安防制度，服从甲方日常管理，严禁私自离岗、串岗、违规作业。人员变动须提前3个工作日书面报备甲方，经甲方同意后方可更换。</w:t>
      </w:r>
    </w:p>
    <w:p w14:paraId="6C9ECD7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4.3 设备配置：乙方自行配备足额、合格的智能清分机、验钞机、扎把机、监控设备、现金保管设备等全部作业机具，设备定期检修校准，确保作业期间正常运行，设备投入、维保、更换费用全部由乙方承担。</w:t>
      </w:r>
    </w:p>
    <w:p w14:paraId="5BEF7AC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4.4 场地使用：乙方在甲方指定场地开展作业，须爱护场地设施、保持环境卫生、遵守安防规定，严禁私拉乱接、违规用电、违规堆放。</w:t>
      </w:r>
    </w:p>
    <w:p w14:paraId="18727B9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第五条 双方权利与义务</w:t>
      </w:r>
    </w:p>
    <w:p w14:paraId="5C6F2AF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 甲方权利义务</w:t>
      </w:r>
    </w:p>
    <w:p w14:paraId="2C066F0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（1）有权对乙方服务质量、人员在岗、设备运行、作业规范进行日常监督、检查、考核、处罚；</w:t>
      </w:r>
    </w:p>
    <w:p w14:paraId="42638E5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（2）有权对乙方不合格服务要求立即整改、返工、追责；</w:t>
      </w:r>
    </w:p>
    <w:p w14:paraId="5441D2E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（3）按照合同约定及时支付服务费用；</w:t>
      </w:r>
    </w:p>
    <w:p w14:paraId="7721983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（4）为乙方提供合规作业场地、基础作业条件；</w:t>
      </w:r>
    </w:p>
    <w:p w14:paraId="6923C61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（5）及时对接业务需求，告知乙方业务规则及最新监管要求。</w:t>
      </w:r>
    </w:p>
    <w:p w14:paraId="4AB3BAC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5.2 乙方权利义务</w:t>
      </w:r>
    </w:p>
    <w:p w14:paraId="5845F044">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（1）严格按照本合同及人行、甲方规范开展全部清分服务，保证服务质量、时效、安全；</w:t>
      </w:r>
    </w:p>
    <w:p w14:paraId="2B6FBA6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（2）承担所有人员用工风险、安全作业风险、设备运行风险；</w:t>
      </w:r>
    </w:p>
    <w:p w14:paraId="4777C018">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（3）建立日自查、周复盘、月质检机制，定期向甲方提交台账、报表、质检报告；</w:t>
      </w:r>
    </w:p>
    <w:p w14:paraId="39DDF21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（4）严格遵守保密制度，严禁泄露甲方现金业务数据、冠字号码信息、网点业务信息等涉密内容；</w:t>
      </w:r>
    </w:p>
    <w:p w14:paraId="73573C8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（5）7×24小时应急响应，及时处理业务高峰、设备故障、人员缺位、现金差错等突发情况；</w:t>
      </w:r>
    </w:p>
    <w:p w14:paraId="5C5C3A6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（6）严禁转包、分包本项目服务，严禁私自调换、截留、挪用现金。</w:t>
      </w:r>
    </w:p>
    <w:p w14:paraId="64254A5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第六条 价款结算与支付方式</w:t>
      </w:r>
    </w:p>
    <w:p w14:paraId="142DAE6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6.1 本合同服务总价为：人民币________元（大写：________________），计价方式为：________。</w:t>
      </w:r>
    </w:p>
    <w:p w14:paraId="5B09116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6.2 付款方式：按月/按季度结算，乙方完成当期服务并提交完整台账、发票、验收资料，甲方验收合格后____个工作日内完成付款。</w:t>
      </w:r>
    </w:p>
    <w:p w14:paraId="2155A44F">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6.3 乙方须提供合法合规等额增值税发票，因发票问题导致甲方无法入账、退税的，由乙方承担全部责任及损失。</w:t>
      </w:r>
    </w:p>
    <w:p w14:paraId="242331CB">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6.4 服务期内因乙方质量不合格、违规作业、被通报投诉产生的扣款、罚金，甲方可直接从当期服务费中抵扣。</w:t>
      </w:r>
    </w:p>
    <w:p w14:paraId="0789034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第七条 差错处理与责任赔付</w:t>
      </w:r>
    </w:p>
    <w:p w14:paraId="2367AD2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7.1 因乙方操作失误、清点错误、漏挑残币、混入假币、台账登记错误造成长短款、账实不符、人行退回、监管通报、客户投诉的，由乙方承担全部责任。</w:t>
      </w:r>
    </w:p>
    <w:p w14:paraId="0FB4148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7.2 产生现金资金损失、罚款、赔偿费用、舆情损失、声誉损失的，乙方须全额赔付甲方所有损失。</w:t>
      </w:r>
    </w:p>
    <w:p w14:paraId="412F50A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7.3 出现差错后，乙方须在2小时内响应、24小时内完成核查、整改、闭环处置，并向甲方提交书面整改报告。</w:t>
      </w:r>
    </w:p>
    <w:p w14:paraId="0C5FF944">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7.4 同一质量问题反复发生的，甲方有权加倍扣款、暂停服务、提前终止合同。</w:t>
      </w:r>
    </w:p>
    <w:p w14:paraId="4615FA3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第八条 安全保密与风险防控</w:t>
      </w:r>
    </w:p>
    <w:p w14:paraId="2EB27744">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8.1 乙方对作业全过程现金安全、数据安全、信息安全承担全部责任，严格执行双人作业、全程监控、闭环管理。</w:t>
      </w:r>
    </w:p>
    <w:p w14:paraId="6E76B1FD">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8.2 严禁乙方人员私自拍摄、拷贝、外传甲方任何业务数据、冠字号码、现金台账、网点信息。</w:t>
      </w:r>
    </w:p>
    <w:p w14:paraId="2D7530EE">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8.3 若发生信息泄露、现金遗失、被盗、挪用、违规操作等安全事件，乙方承担全部经济赔偿及法律责任，甲方有权立即终止合同并追责。</w:t>
      </w:r>
    </w:p>
    <w:p w14:paraId="1D9FE92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第九条 应急保障与售后服务</w:t>
      </w:r>
    </w:p>
    <w:p w14:paraId="1F112E90">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9.1 乙方建立完善应急预案，针对业务高峰期、设备故障、人员突发离岗、疫情、极端天气、现金差错、舆情风险等场景制定处置流程，保障甲方业务不间断。</w:t>
      </w:r>
    </w:p>
    <w:p w14:paraId="0B00CFB0">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9.2 乙方承诺7×24小时应急响应，日常问题当日处置完毕，重大问题2小时内到场处置。</w:t>
      </w:r>
    </w:p>
    <w:p w14:paraId="379BAE96">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9.3 乙方保障人员稳定、设备稳定，不得无故停工、降标、减配。</w:t>
      </w:r>
    </w:p>
    <w:p w14:paraId="480C911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第十条 考核与违约处罚</w:t>
      </w:r>
    </w:p>
    <w:p w14:paraId="5EB22DA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10.1 甲方实行月度考核、年度总评，考核结果与服务费支付、续约资格直接挂钩。</w:t>
      </w:r>
    </w:p>
    <w:p w14:paraId="4BB0924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10.2 乙方出现下列情形之一的，视为一般违约，甲方有权扣减当期服务费：</w:t>
      </w:r>
    </w:p>
    <w:p w14:paraId="447414DF">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（1）钱捆质量不达标、台账不规范、作业不标准；</w:t>
      </w:r>
    </w:p>
    <w:p w14:paraId="44D12784">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（2）人员脱岗、设备运维不及时、响应不及时；</w:t>
      </w:r>
    </w:p>
    <w:p w14:paraId="4BFF5AD2">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（3）轻微差错、一般性服务投诉。</w:t>
      </w:r>
    </w:p>
    <w:p w14:paraId="505E3EE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10.3 乙方出现下列情形之一的，视为严重违约，甲方有权单方解除合同、没收履约保证金、追究全部损失：</w:t>
      </w:r>
    </w:p>
    <w:p w14:paraId="6FE9FCD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（1）出现假币留存、重大长短款、账实严重不符；</w:t>
      </w:r>
    </w:p>
    <w:p w14:paraId="4723F85C">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（2）被人民银行通报、监管处罚，造成甲方声誉损失；</w:t>
      </w:r>
    </w:p>
    <w:p w14:paraId="46AF0F1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（3）泄露涉密信息、私自调换现金、违规操作；</w:t>
      </w:r>
    </w:p>
    <w:p w14:paraId="112CE8BB">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（4）擅自转包、分包、擅自撤场、长期停工；</w:t>
      </w:r>
    </w:p>
    <w:p w14:paraId="26668B7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（5）月度多次考核不合格、整改拒不落实。</w:t>
      </w:r>
    </w:p>
    <w:p w14:paraId="337017E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第十一条 履约保证金</w:t>
      </w:r>
    </w:p>
    <w:p w14:paraId="44BB4A6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11.1 乙方须在合同签订前向甲方缴纳履约保证金人民币________元，用于担保服务质量、履约合规、风险赔付。</w:t>
      </w:r>
    </w:p>
    <w:p w14:paraId="20697F2F">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11.2 合同期满、无违约、无遗留问题、全部台账及工作移交完毕后，甲方无息退还保证金。</w:t>
      </w:r>
    </w:p>
    <w:p w14:paraId="0CB8771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11.3 乙方违约、造成损失的，甲方可直接从保证金中抵扣，不足部分有权继续追偿。</w:t>
      </w:r>
    </w:p>
    <w:p w14:paraId="7366CBB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第十二条 合同变更、解除与终止</w:t>
      </w:r>
    </w:p>
    <w:p w14:paraId="13360490">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12.1 本合同变更须双方书面协商一致，口头变更无效。</w:t>
      </w:r>
    </w:p>
    <w:p w14:paraId="0920545B">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12.2 乙方严重违约、拒不整改、无法满足服务标准的，甲方可单方解除合同，无需提前通知，不承担任何违约责任。</w:t>
      </w:r>
    </w:p>
    <w:p w14:paraId="6064085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12.3 合同终止后，乙方须无条件配合完成交接、台账归档、场地清理、问题闭环，不得拖延、阻挠。</w:t>
      </w:r>
    </w:p>
    <w:p w14:paraId="5B65F60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第十三条 争议解决</w:t>
      </w:r>
    </w:p>
    <w:p w14:paraId="707AF59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本合同履行过程中发生争议，双方优先友好协商解决；协商不成的，任意一方可向</w:t>
      </w:r>
      <w:r>
        <w:rPr>
          <w:rStyle w:val="51"/>
          <w:rFonts w:hint="eastAsia" w:ascii="宋体" w:hAnsi="宋体" w:eastAsia="宋体" w:cs="宋体"/>
          <w:kern w:val="0"/>
          <w:sz w:val="24"/>
          <w:szCs w:val="24"/>
          <w:lang w:val="en-US" w:eastAsia="zh-CN" w:bidi="ar"/>
        </w:rPr>
        <w:t>甲方所在地人民法院</w:t>
      </w:r>
      <w:r>
        <w:rPr>
          <w:rFonts w:hint="eastAsia" w:ascii="宋体" w:hAnsi="宋体" w:eastAsia="宋体" w:cs="宋体"/>
          <w:kern w:val="0"/>
          <w:sz w:val="24"/>
          <w:szCs w:val="24"/>
          <w:lang w:val="en-US" w:eastAsia="zh-CN" w:bidi="ar"/>
        </w:rPr>
        <w:t>提起诉讼。</w:t>
      </w:r>
    </w:p>
    <w:p w14:paraId="3DB8209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第十四条 其他约定</w:t>
      </w:r>
    </w:p>
    <w:p w14:paraId="09C1E4E9">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14.1 本合同未尽事宜，可由双方签订补充协议，补充协议与本合同具有同等法律效力。</w:t>
      </w:r>
    </w:p>
    <w:p w14:paraId="04EDA55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14.2 本项目招标文件、投标文件、中标通知书、服务承诺均为本合同有效组成部分，与本合同条款不一致的，以更有利于甲方的标准执行。</w:t>
      </w:r>
    </w:p>
    <w:p w14:paraId="20CB3BB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14.3 本合同一式肆份，甲方执叁份，乙方执壹份，自双方签字盖章之日起生效，具有同等法律效力。</w:t>
      </w:r>
    </w:p>
    <w:p w14:paraId="2EA20F2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Style w:val="51"/>
          <w:rFonts w:hint="eastAsia" w:ascii="宋体" w:hAnsi="宋体" w:eastAsia="宋体" w:cs="宋体"/>
          <w:kern w:val="0"/>
          <w:sz w:val="24"/>
          <w:szCs w:val="24"/>
          <w:lang w:val="en-US" w:eastAsia="zh-CN" w:bidi="ar"/>
        </w:rPr>
        <w:t>甲方（盖章）：江苏盱眙农村商业银行股份有限公司</w:t>
      </w:r>
    </w:p>
    <w:p w14:paraId="289CC0C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法定代表人/授权代表人（签字）：____________</w:t>
      </w:r>
    </w:p>
    <w:p w14:paraId="36097D5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日期：____年____月____日</w:t>
      </w:r>
    </w:p>
    <w:p w14:paraId="732F1C4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联系电话：____________</w:t>
      </w:r>
    </w:p>
    <w:p w14:paraId="25E75CB8">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Style w:val="51"/>
          <w:rFonts w:hint="eastAsia" w:ascii="宋体" w:hAnsi="宋体" w:eastAsia="宋体" w:cs="宋体"/>
          <w:kern w:val="0"/>
          <w:sz w:val="24"/>
          <w:szCs w:val="24"/>
          <w:lang w:val="en-US" w:eastAsia="zh-CN" w:bidi="ar"/>
        </w:rPr>
      </w:pPr>
    </w:p>
    <w:p w14:paraId="1989245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Style w:val="51"/>
          <w:rFonts w:hint="eastAsia" w:ascii="宋体" w:hAnsi="宋体" w:eastAsia="宋体" w:cs="宋体"/>
          <w:kern w:val="0"/>
          <w:sz w:val="24"/>
          <w:szCs w:val="24"/>
          <w:lang w:val="en-US" w:eastAsia="zh-CN" w:bidi="ar"/>
        </w:rPr>
      </w:pPr>
    </w:p>
    <w:p w14:paraId="2135A9D7">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sz w:val="24"/>
          <w:szCs w:val="24"/>
        </w:rPr>
      </w:pPr>
      <w:r>
        <w:rPr>
          <w:rStyle w:val="51"/>
          <w:rFonts w:hint="eastAsia" w:ascii="宋体" w:hAnsi="宋体" w:eastAsia="宋体" w:cs="宋体"/>
          <w:kern w:val="0"/>
          <w:sz w:val="24"/>
          <w:szCs w:val="24"/>
          <w:lang w:val="en-US" w:eastAsia="zh-CN" w:bidi="ar"/>
        </w:rPr>
        <w:t>乙方（盖章）：________________________</w:t>
      </w:r>
    </w:p>
    <w:p w14:paraId="1A856735">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法定代表人/授权代表人（签字）：____________</w:t>
      </w:r>
    </w:p>
    <w:p w14:paraId="377F317A">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日期：____年____月____日</w:t>
      </w:r>
    </w:p>
    <w:p w14:paraId="3FD5B673">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联系电话：____________</w:t>
      </w:r>
    </w:p>
    <w:p w14:paraId="509FB9F1">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开户银行：____________</w:t>
      </w:r>
    </w:p>
    <w:p w14:paraId="475EEDB8">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银行账号：____________</w:t>
      </w:r>
    </w:p>
    <w:p w14:paraId="4A19E4AB">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ABF5B10">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473E4E5">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176EEE5">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5C44835A">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62FE4B54">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2362B53">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1D07557">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016184F">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323B14D5">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591AE975">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309E0DD">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0A289448">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001855B">
      <w:pPr>
        <w:pStyle w:val="4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6A53106">
      <w:pPr>
        <w:adjustRightInd w:val="0"/>
        <w:snapToGrid w:val="0"/>
        <w:spacing w:line="360" w:lineRule="auto"/>
        <w:ind w:right="113"/>
        <w:contextualSpacing/>
        <w:jc w:val="center"/>
        <w:rPr>
          <w:rFonts w:hint="eastAsia" w:ascii="宋体" w:hAnsi="宋体" w:eastAsia="宋体" w:cs="宋体"/>
          <w:b/>
          <w:bCs/>
          <w:sz w:val="32"/>
          <w:szCs w:val="32"/>
        </w:rPr>
      </w:pPr>
      <w:r>
        <w:rPr>
          <w:rFonts w:hint="eastAsia" w:ascii="宋体" w:hAnsi="宋体" w:eastAsia="宋体" w:cs="宋体"/>
          <w:b/>
          <w:bCs/>
          <w:sz w:val="32"/>
          <w:szCs w:val="32"/>
        </w:rPr>
        <w:t>第五篇、磋商文件部分格式（投标文件）</w:t>
      </w:r>
    </w:p>
    <w:p w14:paraId="47FD3540">
      <w:pPr>
        <w:pStyle w:val="26"/>
        <w:spacing w:line="560" w:lineRule="exact"/>
        <w:jc w:val="center"/>
        <w:rPr>
          <w:rFonts w:hint="eastAsia" w:ascii="宋体" w:hAnsi="宋体" w:eastAsia="宋体" w:cs="宋体"/>
          <w:b/>
          <w:bCs/>
          <w:szCs w:val="28"/>
        </w:rPr>
      </w:pPr>
    </w:p>
    <w:p w14:paraId="7AF0CCF7">
      <w:pPr>
        <w:pStyle w:val="26"/>
        <w:spacing w:line="560" w:lineRule="exact"/>
        <w:jc w:val="center"/>
        <w:rPr>
          <w:rFonts w:hint="eastAsia" w:ascii="宋体" w:hAnsi="宋体" w:eastAsia="宋体" w:cs="宋体"/>
          <w:b/>
          <w:bCs/>
          <w:szCs w:val="28"/>
        </w:rPr>
      </w:pPr>
    </w:p>
    <w:p w14:paraId="0D3D2EC1">
      <w:pPr>
        <w:pStyle w:val="26"/>
        <w:spacing w:line="560" w:lineRule="exact"/>
        <w:jc w:val="center"/>
        <w:rPr>
          <w:rFonts w:hint="eastAsia" w:ascii="宋体" w:hAnsi="宋体" w:eastAsia="宋体" w:cs="宋体"/>
          <w:b/>
          <w:bCs/>
          <w:szCs w:val="28"/>
        </w:rPr>
      </w:pPr>
    </w:p>
    <w:p w14:paraId="7D9A8E7C">
      <w:pPr>
        <w:pStyle w:val="66"/>
        <w:ind w:firstLine="420"/>
        <w:rPr>
          <w:rFonts w:hint="eastAsia" w:ascii="宋体" w:hAnsi="宋体" w:eastAsia="宋体" w:cs="宋体"/>
        </w:rPr>
      </w:pPr>
    </w:p>
    <w:p w14:paraId="61A07A5A">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项目名称:</w:t>
      </w:r>
    </w:p>
    <w:p w14:paraId="6D647958">
      <w:pPr>
        <w:tabs>
          <w:tab w:val="left" w:pos="6300"/>
        </w:tabs>
        <w:snapToGrid w:val="0"/>
        <w:spacing w:line="500" w:lineRule="exact"/>
        <w:ind w:firstLine="730"/>
        <w:rPr>
          <w:rFonts w:hint="eastAsia" w:ascii="宋体" w:hAnsi="宋体" w:eastAsia="宋体" w:cs="宋体"/>
          <w:sz w:val="28"/>
          <w:szCs w:val="28"/>
        </w:rPr>
      </w:pPr>
    </w:p>
    <w:p w14:paraId="347F462A">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项目编号:</w:t>
      </w:r>
    </w:p>
    <w:p w14:paraId="7583C5DF">
      <w:pPr>
        <w:tabs>
          <w:tab w:val="left" w:pos="6300"/>
        </w:tabs>
        <w:snapToGrid w:val="0"/>
        <w:spacing w:line="500" w:lineRule="exact"/>
        <w:ind w:firstLine="730"/>
        <w:rPr>
          <w:rFonts w:hint="eastAsia" w:ascii="宋体" w:hAnsi="宋体" w:eastAsia="宋体" w:cs="宋体"/>
          <w:sz w:val="28"/>
          <w:szCs w:val="28"/>
        </w:rPr>
      </w:pPr>
    </w:p>
    <w:p w14:paraId="02EFF485">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投 标 人：</w:t>
      </w:r>
    </w:p>
    <w:p w14:paraId="52A5D67B">
      <w:pPr>
        <w:pStyle w:val="66"/>
        <w:ind w:firstLine="420"/>
        <w:rPr>
          <w:rFonts w:hint="eastAsia" w:ascii="宋体" w:hAnsi="宋体" w:eastAsia="宋体" w:cs="宋体"/>
        </w:rPr>
      </w:pPr>
    </w:p>
    <w:p w14:paraId="38FFF773">
      <w:pPr>
        <w:pStyle w:val="66"/>
        <w:ind w:firstLine="420"/>
        <w:rPr>
          <w:rFonts w:hint="eastAsia" w:ascii="宋体" w:hAnsi="宋体" w:eastAsia="宋体" w:cs="宋体"/>
        </w:rPr>
      </w:pPr>
    </w:p>
    <w:p w14:paraId="023F5BF5">
      <w:pPr>
        <w:pStyle w:val="66"/>
        <w:ind w:firstLine="420"/>
        <w:rPr>
          <w:rFonts w:hint="eastAsia" w:ascii="宋体" w:hAnsi="宋体" w:eastAsia="宋体" w:cs="宋体"/>
          <w:sz w:val="28"/>
          <w:szCs w:val="28"/>
        </w:rPr>
      </w:pPr>
      <w:r>
        <w:rPr>
          <w:rFonts w:hint="eastAsia" w:ascii="宋体" w:hAnsi="宋体" w:eastAsia="宋体" w:cs="宋体"/>
        </w:rPr>
        <w:t xml:space="preserve">             </w:t>
      </w:r>
      <w:r>
        <w:rPr>
          <w:rFonts w:hint="eastAsia" w:ascii="宋体" w:hAnsi="宋体" w:eastAsia="宋体" w:cs="宋体"/>
          <w:sz w:val="28"/>
          <w:szCs w:val="28"/>
        </w:rPr>
        <w:t>日     期：</w:t>
      </w:r>
    </w:p>
    <w:p w14:paraId="7BFD7C06">
      <w:pPr>
        <w:pStyle w:val="66"/>
        <w:ind w:firstLine="420"/>
        <w:rPr>
          <w:rFonts w:hint="eastAsia" w:ascii="宋体" w:hAnsi="宋体" w:eastAsia="宋体" w:cs="宋体"/>
          <w:sz w:val="28"/>
          <w:szCs w:val="28"/>
        </w:rPr>
      </w:pPr>
    </w:p>
    <w:p w14:paraId="69B1559B">
      <w:pPr>
        <w:pStyle w:val="66"/>
        <w:ind w:firstLine="420"/>
        <w:rPr>
          <w:rFonts w:hint="eastAsia" w:ascii="宋体" w:hAnsi="宋体" w:eastAsia="宋体" w:cs="宋体"/>
          <w:sz w:val="28"/>
          <w:szCs w:val="28"/>
        </w:rPr>
      </w:pPr>
    </w:p>
    <w:p w14:paraId="20B5CC04">
      <w:pPr>
        <w:pStyle w:val="66"/>
        <w:ind w:firstLine="420"/>
        <w:rPr>
          <w:rFonts w:hint="eastAsia" w:ascii="宋体" w:hAnsi="宋体" w:eastAsia="宋体" w:cs="宋体"/>
          <w:sz w:val="28"/>
          <w:szCs w:val="28"/>
        </w:rPr>
      </w:pPr>
    </w:p>
    <w:p w14:paraId="734084CC">
      <w:pPr>
        <w:pStyle w:val="66"/>
        <w:ind w:left="0" w:leftChars="0" w:firstLine="0" w:firstLineChars="0"/>
        <w:rPr>
          <w:rFonts w:hint="eastAsia" w:ascii="宋体" w:hAnsi="宋体" w:eastAsia="宋体" w:cs="宋体"/>
          <w:sz w:val="28"/>
          <w:szCs w:val="28"/>
        </w:rPr>
      </w:pPr>
    </w:p>
    <w:p w14:paraId="5ED84237">
      <w:pPr>
        <w:spacing w:line="600" w:lineRule="exact"/>
        <w:rPr>
          <w:rFonts w:ascii="宋体"/>
          <w:bCs/>
          <w:sz w:val="28"/>
        </w:rPr>
      </w:pPr>
      <w:r>
        <w:rPr>
          <w:rFonts w:hint="eastAsia" w:ascii="宋体" w:hAnsi="宋体"/>
          <w:bCs/>
          <w:sz w:val="28"/>
        </w:rPr>
        <w:t>尊敬的供应商</w:t>
      </w:r>
      <w:r>
        <w:rPr>
          <w:rFonts w:ascii="宋体" w:hAnsi="宋体"/>
          <w:bCs/>
          <w:sz w:val="28"/>
        </w:rPr>
        <w:t>:</w:t>
      </w:r>
    </w:p>
    <w:p w14:paraId="6898B02A">
      <w:pPr>
        <w:spacing w:line="600" w:lineRule="exact"/>
        <w:ind w:firstLine="560" w:firstLineChars="200"/>
        <w:rPr>
          <w:rFonts w:ascii="宋体"/>
          <w:bCs/>
          <w:sz w:val="28"/>
        </w:rPr>
      </w:pPr>
      <w:r>
        <w:rPr>
          <w:rFonts w:hint="eastAsia" w:ascii="宋体" w:hAnsi="宋体"/>
          <w:color w:val="000000"/>
          <w:sz w:val="28"/>
          <w:szCs w:val="28"/>
        </w:rPr>
        <w:t>请按照以下文件的格式要求、内容、顺序制作投标文件，并请编制目录及页码，否则可能将影响对投标文件的评价。</w:t>
      </w:r>
    </w:p>
    <w:p w14:paraId="6AFD0EC8">
      <w:pPr>
        <w:spacing w:line="600" w:lineRule="exact"/>
        <w:ind w:firstLine="562" w:firstLineChars="200"/>
        <w:rPr>
          <w:rFonts w:hint="eastAsia" w:ascii="宋体" w:hAnsi="宋体"/>
          <w:b/>
          <w:color w:val="000000"/>
          <w:sz w:val="28"/>
          <w:szCs w:val="28"/>
        </w:rPr>
      </w:pPr>
      <w:r>
        <w:rPr>
          <w:rFonts w:hint="eastAsia" w:ascii="宋体" w:hAnsi="宋体"/>
          <w:b/>
          <w:color w:val="000000"/>
          <w:sz w:val="28"/>
          <w:szCs w:val="28"/>
        </w:rPr>
        <w:t>投标文件格式中所有要求签字和盖章的部分，必须按要求进行签字和盖章。</w:t>
      </w:r>
    </w:p>
    <w:p w14:paraId="4847CE23">
      <w:pPr>
        <w:pStyle w:val="47"/>
      </w:pPr>
    </w:p>
    <w:p w14:paraId="69B7D09F"/>
    <w:bookmarkEnd w:id="0"/>
    <w:p w14:paraId="7980ACC2">
      <w:pPr>
        <w:numPr>
          <w:ilvl w:val="0"/>
          <w:numId w:val="5"/>
        </w:numPr>
        <w:rPr>
          <w:rFonts w:ascii="宋体" w:hAnsi="宋体" w:cs="宋体"/>
          <w:b/>
          <w:kern w:val="0"/>
          <w:sz w:val="32"/>
          <w:szCs w:val="21"/>
        </w:rPr>
      </w:pPr>
      <w:r>
        <w:rPr>
          <w:rFonts w:hint="eastAsia" w:ascii="宋体" w:hAnsi="宋体" w:cs="宋体"/>
          <w:b/>
          <w:kern w:val="0"/>
          <w:sz w:val="32"/>
          <w:szCs w:val="21"/>
        </w:rPr>
        <w:t>投  标  函</w:t>
      </w:r>
    </w:p>
    <w:p w14:paraId="678F39E6">
      <w:pPr>
        <w:spacing w:line="440" w:lineRule="exact"/>
        <w:jc w:val="left"/>
        <w:rPr>
          <w:rFonts w:ascii="宋体" w:hAnsi="宋体" w:cs="宋体"/>
          <w:b/>
          <w:kern w:val="0"/>
          <w:sz w:val="24"/>
          <w:szCs w:val="24"/>
        </w:rPr>
      </w:pPr>
      <w:r>
        <w:rPr>
          <w:rFonts w:hint="eastAsia" w:ascii="宋体" w:hAnsi="宋体" w:cs="宋体"/>
          <w:b/>
          <w:kern w:val="0"/>
          <w:sz w:val="24"/>
          <w:szCs w:val="24"/>
          <w:u w:val="single"/>
        </w:rPr>
        <w:t xml:space="preserve">                  </w:t>
      </w:r>
      <w:r>
        <w:rPr>
          <w:rFonts w:hint="eastAsia" w:ascii="宋体" w:hAnsi="宋体" w:cs="宋体"/>
          <w:b/>
          <w:kern w:val="0"/>
          <w:sz w:val="24"/>
          <w:szCs w:val="24"/>
        </w:rPr>
        <w:t>：</w:t>
      </w:r>
    </w:p>
    <w:p w14:paraId="4875240B">
      <w:pPr>
        <w:pStyle w:val="23"/>
        <w:spacing w:line="440" w:lineRule="exact"/>
        <w:ind w:firstLine="360" w:firstLineChars="150"/>
        <w:rPr>
          <w:color w:val="000000"/>
          <w:kern w:val="0"/>
          <w:sz w:val="24"/>
          <w:szCs w:val="24"/>
        </w:rPr>
      </w:pPr>
      <w:r>
        <w:rPr>
          <w:rFonts w:hint="eastAsia" w:hAnsi="宋体" w:cs="宋体"/>
          <w:sz w:val="24"/>
          <w:szCs w:val="24"/>
        </w:rPr>
        <w:t>关于</w:t>
      </w:r>
      <w:r>
        <w:rPr>
          <w:rFonts w:hint="eastAsia" w:hAnsi="宋体" w:cs="宋体"/>
          <w:sz w:val="24"/>
          <w:szCs w:val="24"/>
          <w:u w:val="single"/>
        </w:rPr>
        <w:t xml:space="preserve">             </w:t>
      </w:r>
      <w:r>
        <w:rPr>
          <w:rFonts w:hint="eastAsia" w:hAnsi="宋体" w:cs="宋体"/>
          <w:sz w:val="24"/>
          <w:szCs w:val="24"/>
        </w:rPr>
        <w:t xml:space="preserve">采购项目（项目编号: </w:t>
      </w:r>
      <w:r>
        <w:rPr>
          <w:rFonts w:hint="eastAsia" w:hAnsi="宋体" w:cs="宋体"/>
          <w:sz w:val="24"/>
          <w:szCs w:val="24"/>
          <w:u w:val="single"/>
        </w:rPr>
        <w:t xml:space="preserve">           </w:t>
      </w:r>
      <w:r>
        <w:rPr>
          <w:rFonts w:hint="eastAsia" w:hAnsi="宋体" w:cs="宋体"/>
          <w:sz w:val="24"/>
          <w:szCs w:val="24"/>
        </w:rPr>
        <w:t xml:space="preserve"> ）采购文件（包括更正公告，如果有的话）收悉，我们经详细审阅和研究，现决定参加本项目采购。同时，正式授权下述签字人</w:t>
      </w:r>
      <w:r>
        <w:rPr>
          <w:rFonts w:hint="eastAsia" w:hAnsi="宋体" w:cs="宋体"/>
          <w:sz w:val="24"/>
          <w:szCs w:val="24"/>
          <w:u w:val="single"/>
        </w:rPr>
        <w:t xml:space="preserve">              </w:t>
      </w:r>
      <w:r>
        <w:rPr>
          <w:rFonts w:hint="eastAsia" w:hAnsi="宋体" w:cs="宋体"/>
          <w:sz w:val="24"/>
          <w:szCs w:val="24"/>
        </w:rPr>
        <w:t>（姓名和职务）代表</w:t>
      </w:r>
      <w:r>
        <w:rPr>
          <w:rFonts w:hint="eastAsia" w:hAnsi="宋体" w:cs="宋体"/>
          <w:sz w:val="24"/>
          <w:szCs w:val="24"/>
          <w:u w:val="single"/>
        </w:rPr>
        <w:t xml:space="preserve">                        </w:t>
      </w:r>
      <w:r>
        <w:rPr>
          <w:rFonts w:hint="eastAsia" w:hAnsi="宋体" w:cs="宋体"/>
          <w:sz w:val="24"/>
          <w:szCs w:val="24"/>
        </w:rPr>
        <w:t>（供应商单位名称） 全权处理本次项目的有关事宜。</w:t>
      </w:r>
    </w:p>
    <w:p w14:paraId="40385904">
      <w:pPr>
        <w:pStyle w:val="23"/>
        <w:spacing w:line="440" w:lineRule="exact"/>
        <w:ind w:firstLine="360" w:firstLineChars="150"/>
        <w:rPr>
          <w:color w:val="000000"/>
          <w:kern w:val="0"/>
          <w:sz w:val="24"/>
          <w:szCs w:val="24"/>
        </w:rPr>
      </w:pPr>
      <w:r>
        <w:rPr>
          <w:rFonts w:hint="eastAsia"/>
          <w:color w:val="000000"/>
          <w:kern w:val="0"/>
          <w:sz w:val="24"/>
          <w:szCs w:val="24"/>
        </w:rPr>
        <w:t>1、</w:t>
      </w:r>
      <w:r>
        <w:rPr>
          <w:rFonts w:hint="eastAsia" w:hAnsi="宋体" w:cs="宋体"/>
          <w:sz w:val="24"/>
        </w:rPr>
        <w:t>按采购文件中规定各项要求，我方愿（大写、人民币）</w:t>
      </w:r>
      <w:r>
        <w:rPr>
          <w:rFonts w:hint="eastAsia" w:hAnsi="宋体" w:cs="宋体"/>
          <w:sz w:val="24"/>
          <w:u w:val="single"/>
        </w:rPr>
        <w:t xml:space="preserve">    </w:t>
      </w:r>
      <w:r>
        <w:rPr>
          <w:rFonts w:hint="eastAsia" w:hAnsi="宋体" w:cs="宋体"/>
          <w:sz w:val="24"/>
        </w:rPr>
        <w:t>（RMB ￥</w:t>
      </w:r>
      <w:r>
        <w:rPr>
          <w:rFonts w:hint="eastAsia" w:hAnsi="宋体" w:cs="宋体"/>
          <w:sz w:val="24"/>
          <w:u w:val="single"/>
        </w:rPr>
        <w:t xml:space="preserve">   </w:t>
      </w:r>
      <w:r>
        <w:rPr>
          <w:rFonts w:hint="eastAsia" w:hAnsi="宋体" w:cs="宋体"/>
          <w:sz w:val="24"/>
        </w:rPr>
        <w:t>元）的总报价并按采购文件的规定要求提供所需货物和服务</w:t>
      </w:r>
      <w:r>
        <w:rPr>
          <w:rFonts w:hint="eastAsia"/>
          <w:color w:val="000000"/>
          <w:kern w:val="0"/>
          <w:sz w:val="24"/>
          <w:szCs w:val="24"/>
        </w:rPr>
        <w:t>。</w:t>
      </w:r>
      <w:r>
        <w:rPr>
          <w:color w:val="000000"/>
          <w:kern w:val="0"/>
          <w:sz w:val="24"/>
          <w:szCs w:val="24"/>
        </w:rPr>
        <w:t xml:space="preserve"> </w:t>
      </w:r>
    </w:p>
    <w:p w14:paraId="017A4BAB">
      <w:pPr>
        <w:tabs>
          <w:tab w:val="left" w:pos="6300"/>
        </w:tabs>
        <w:snapToGrid w:val="0"/>
        <w:spacing w:line="500" w:lineRule="exact"/>
        <w:ind w:firstLine="570"/>
        <w:rPr>
          <w:rFonts w:ascii="宋体" w:hAnsi="宋体" w:cs="宋体"/>
          <w:sz w:val="24"/>
        </w:rPr>
      </w:pPr>
      <w:r>
        <w:rPr>
          <w:rFonts w:hint="eastAsia" w:ascii="宋体" w:hAnsi="宋体" w:cs="宋体"/>
          <w:sz w:val="24"/>
        </w:rPr>
        <w:t>2、我方同意按照采购文件中第14条规定，本投标文件的有效期从谈判之日起计算90天，在此期间，本响应文件将始终对我们具有约束力，并可随时被接受。如果我们成交，本响应文件在此期间之后将继续保持有效，直至合同生效。</w:t>
      </w:r>
    </w:p>
    <w:p w14:paraId="66D244EF">
      <w:pPr>
        <w:tabs>
          <w:tab w:val="left" w:pos="6300"/>
        </w:tabs>
        <w:snapToGrid w:val="0"/>
        <w:spacing w:line="500" w:lineRule="exact"/>
        <w:ind w:firstLine="570"/>
        <w:rPr>
          <w:color w:val="000000"/>
          <w:sz w:val="16"/>
          <w:szCs w:val="16"/>
        </w:rPr>
      </w:pPr>
      <w:r>
        <w:rPr>
          <w:rFonts w:hint="eastAsia" w:ascii="宋体" w:hAnsi="宋体" w:cs="宋体"/>
          <w:sz w:val="24"/>
        </w:rPr>
        <w:t>3、我们同意向贵方提供贵方可能要求的与采购有关的任何证据或资料，并保证所提供的都是真实的、准确的</w:t>
      </w:r>
      <w:r>
        <w:rPr>
          <w:rFonts w:hint="eastAsia"/>
          <w:color w:val="000000"/>
          <w:sz w:val="16"/>
          <w:szCs w:val="16"/>
        </w:rPr>
        <w:t>。</w:t>
      </w:r>
    </w:p>
    <w:p w14:paraId="6CD1EF1D">
      <w:pPr>
        <w:tabs>
          <w:tab w:val="left" w:pos="6300"/>
        </w:tabs>
        <w:snapToGrid w:val="0"/>
        <w:spacing w:line="500" w:lineRule="exact"/>
        <w:ind w:firstLine="570"/>
        <w:rPr>
          <w:rFonts w:ascii="宋体" w:hAnsi="宋体" w:cs="宋体"/>
          <w:sz w:val="24"/>
        </w:rPr>
      </w:pPr>
      <w:r>
        <w:rPr>
          <w:rFonts w:hint="eastAsia" w:ascii="宋体" w:hAnsi="宋体" w:cs="宋体"/>
          <w:sz w:val="24"/>
        </w:rPr>
        <w:t>4、如果我们成交，为执行合同，我们将按照供应商须知第32条要求提交履约保证金。</w:t>
      </w:r>
    </w:p>
    <w:p w14:paraId="14B37BE3">
      <w:pPr>
        <w:tabs>
          <w:tab w:val="left" w:pos="6300"/>
        </w:tabs>
        <w:snapToGrid w:val="0"/>
        <w:spacing w:line="500" w:lineRule="exact"/>
        <w:ind w:firstLine="570"/>
        <w:rPr>
          <w:rFonts w:ascii="宋体" w:hAnsi="宋体" w:cs="宋体"/>
          <w:sz w:val="24"/>
        </w:rPr>
      </w:pPr>
      <w:r>
        <w:rPr>
          <w:rFonts w:hint="eastAsia" w:ascii="宋体" w:hAnsi="宋体" w:cs="宋体"/>
          <w:sz w:val="24"/>
        </w:rPr>
        <w:t>5、一旦我方成交，我方将按照采购文件的规定，严格履行合同的责任和义务，并保证按采购文件中规定的时间内供货，并完成项目的施工、调试、交付甲方验收、使用。否则我们的履约保证金将被贵方没收。</w:t>
      </w:r>
    </w:p>
    <w:p w14:paraId="1E0981AC">
      <w:pPr>
        <w:pStyle w:val="23"/>
        <w:spacing w:line="440" w:lineRule="exact"/>
        <w:ind w:firstLine="480" w:firstLineChars="200"/>
        <w:rPr>
          <w:rFonts w:hAnsi="宋体" w:cs="宋体"/>
          <w:sz w:val="24"/>
          <w:szCs w:val="24"/>
        </w:rPr>
      </w:pPr>
      <w:r>
        <w:rPr>
          <w:rFonts w:hint="eastAsia" w:hAnsi="宋体" w:cs="宋体"/>
          <w:sz w:val="24"/>
          <w:szCs w:val="24"/>
        </w:rPr>
        <w:t>6、我们没有为本项目提供整体设计、规范编制或者项目管理、监理、检测等服务。</w:t>
      </w:r>
    </w:p>
    <w:p w14:paraId="17CFBD63">
      <w:pPr>
        <w:pStyle w:val="23"/>
        <w:spacing w:line="440" w:lineRule="exact"/>
        <w:ind w:firstLine="480" w:firstLineChars="200"/>
        <w:rPr>
          <w:rFonts w:hAnsi="宋体" w:cs="宋体"/>
          <w:sz w:val="24"/>
          <w:szCs w:val="24"/>
        </w:rPr>
      </w:pPr>
      <w:r>
        <w:rPr>
          <w:rFonts w:hint="eastAsia" w:hAnsi="宋体" w:cs="宋体"/>
          <w:sz w:val="24"/>
          <w:szCs w:val="24"/>
        </w:rPr>
        <w:t>供应商名称</w:t>
      </w:r>
      <w:r>
        <w:rPr>
          <w:rFonts w:hint="eastAsia" w:hAnsi="宋体" w:cs="宋体"/>
          <w:sz w:val="24"/>
          <w:szCs w:val="24"/>
          <w:u w:val="single"/>
        </w:rPr>
        <w:t xml:space="preserve">           </w:t>
      </w:r>
      <w:r>
        <w:rPr>
          <w:rFonts w:hint="eastAsia" w:hAnsi="宋体" w:cs="宋体"/>
          <w:sz w:val="24"/>
          <w:szCs w:val="24"/>
        </w:rPr>
        <w:t xml:space="preserve">        （签章）：</w:t>
      </w:r>
    </w:p>
    <w:p w14:paraId="7227D435">
      <w:pPr>
        <w:pStyle w:val="23"/>
        <w:spacing w:line="440" w:lineRule="exact"/>
        <w:ind w:firstLine="480" w:firstLineChars="200"/>
        <w:rPr>
          <w:rFonts w:hAnsi="宋体" w:cs="宋体"/>
          <w:sz w:val="24"/>
          <w:szCs w:val="24"/>
          <w:u w:val="single"/>
        </w:rPr>
      </w:pPr>
      <w:r>
        <w:rPr>
          <w:rFonts w:hint="eastAsia" w:hAnsi="宋体" w:cs="宋体"/>
          <w:sz w:val="24"/>
          <w:szCs w:val="24"/>
        </w:rPr>
        <w:t>地址</w:t>
      </w:r>
      <w:r>
        <w:rPr>
          <w:rFonts w:hint="eastAsia" w:hAnsi="宋体" w:cs="宋体"/>
          <w:sz w:val="24"/>
          <w:szCs w:val="24"/>
          <w:u w:val="single"/>
        </w:rPr>
        <w:t xml:space="preserve">：                </w:t>
      </w:r>
      <w:r>
        <w:rPr>
          <w:rFonts w:hint="eastAsia" w:hAnsi="宋体" w:cs="宋体"/>
          <w:sz w:val="24"/>
          <w:szCs w:val="24"/>
        </w:rPr>
        <w:t>邮编：</w:t>
      </w:r>
      <w:r>
        <w:rPr>
          <w:rFonts w:hint="eastAsia" w:hAnsi="宋体" w:cs="宋体"/>
          <w:sz w:val="24"/>
          <w:szCs w:val="24"/>
          <w:u w:val="single"/>
        </w:rPr>
        <w:t xml:space="preserve">                     </w:t>
      </w:r>
    </w:p>
    <w:p w14:paraId="678D6F2E">
      <w:pPr>
        <w:pStyle w:val="23"/>
        <w:spacing w:line="440" w:lineRule="exact"/>
        <w:ind w:firstLine="480" w:firstLineChars="200"/>
        <w:rPr>
          <w:rFonts w:hAnsi="宋体" w:cs="宋体"/>
          <w:sz w:val="24"/>
          <w:szCs w:val="24"/>
          <w:u w:val="single"/>
        </w:rPr>
      </w:pPr>
      <w:r>
        <w:rPr>
          <w:rFonts w:hint="eastAsia" w:hAnsi="宋体" w:cs="宋体"/>
          <w:sz w:val="24"/>
          <w:szCs w:val="24"/>
        </w:rPr>
        <w:t>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p w14:paraId="3C108149">
      <w:pPr>
        <w:pStyle w:val="23"/>
        <w:spacing w:line="440" w:lineRule="exact"/>
        <w:ind w:firstLine="480" w:firstLineChars="200"/>
        <w:rPr>
          <w:rFonts w:hAnsi="宋体" w:cs="宋体"/>
          <w:sz w:val="24"/>
          <w:szCs w:val="24"/>
        </w:rPr>
      </w:pPr>
      <w:r>
        <w:rPr>
          <w:rFonts w:hint="eastAsia" w:hAnsi="宋体" w:cs="宋体"/>
          <w:sz w:val="24"/>
          <w:szCs w:val="24"/>
        </w:rPr>
        <w:t>法定代表人：</w:t>
      </w:r>
      <w:r>
        <w:rPr>
          <w:rFonts w:hint="eastAsia" w:hAnsi="宋体" w:cs="宋体"/>
          <w:sz w:val="24"/>
          <w:szCs w:val="24"/>
          <w:u w:val="single"/>
        </w:rPr>
        <w:t xml:space="preserve">                            </w:t>
      </w:r>
      <w:r>
        <w:rPr>
          <w:rFonts w:hint="eastAsia" w:hAnsi="宋体" w:cs="宋体"/>
          <w:sz w:val="24"/>
          <w:szCs w:val="24"/>
        </w:rPr>
        <w:t xml:space="preserve">（签章或签字） </w:t>
      </w:r>
    </w:p>
    <w:p w14:paraId="1CA3FCB0">
      <w:pPr>
        <w:pStyle w:val="23"/>
        <w:spacing w:line="440" w:lineRule="exact"/>
        <w:ind w:firstLine="480" w:firstLineChars="200"/>
        <w:rPr>
          <w:rFonts w:hAnsi="宋体" w:cs="宋体"/>
          <w:sz w:val="24"/>
          <w:szCs w:val="24"/>
          <w:u w:val="single"/>
        </w:rPr>
      </w:pPr>
      <w:r>
        <w:rPr>
          <w:rFonts w:hint="eastAsia" w:hAnsi="宋体" w:cs="宋体"/>
          <w:sz w:val="24"/>
          <w:szCs w:val="24"/>
        </w:rPr>
        <w:t xml:space="preserve">职务： </w:t>
      </w:r>
      <w:r>
        <w:rPr>
          <w:rFonts w:hint="eastAsia" w:hAnsi="宋体" w:cs="宋体"/>
          <w:sz w:val="24"/>
          <w:szCs w:val="24"/>
          <w:u w:val="single"/>
        </w:rPr>
        <w:t xml:space="preserve">                                 </w:t>
      </w:r>
    </w:p>
    <w:p w14:paraId="56E96C63">
      <w:pPr>
        <w:pStyle w:val="23"/>
        <w:spacing w:line="440" w:lineRule="exact"/>
        <w:ind w:firstLine="480" w:firstLineChars="200"/>
        <w:rPr>
          <w:rFonts w:hAnsi="宋体" w:cs="宋体"/>
          <w:sz w:val="24"/>
          <w:szCs w:val="24"/>
          <w:u w:val="single"/>
        </w:rPr>
      </w:pPr>
      <w:r>
        <w:rPr>
          <w:rFonts w:hint="eastAsia" w:hAnsi="宋体" w:cs="宋体"/>
          <w:sz w:val="24"/>
          <w:szCs w:val="24"/>
        </w:rPr>
        <w:t>日期：</w:t>
      </w:r>
      <w:r>
        <w:rPr>
          <w:rFonts w:hint="eastAsia" w:hAnsi="宋体" w:cs="宋体"/>
          <w:sz w:val="24"/>
          <w:szCs w:val="24"/>
          <w:u w:val="single"/>
        </w:rPr>
        <w:t xml:space="preserve">                                    </w:t>
      </w:r>
    </w:p>
    <w:p w14:paraId="3514FB45">
      <w:pPr>
        <w:widowControl/>
        <w:spacing w:before="19" w:line="360" w:lineRule="auto"/>
        <w:jc w:val="center"/>
        <w:rPr>
          <w:rFonts w:ascii="宋体" w:hAnsi="宋体" w:cs="宋体"/>
          <w:b/>
          <w:sz w:val="24"/>
        </w:rPr>
      </w:pPr>
      <w:r>
        <w:rPr>
          <w:rFonts w:hint="eastAsia" w:ascii="宋体" w:hAnsi="宋体" w:cs="宋体"/>
          <w:b/>
          <w:kern w:val="0"/>
          <w:sz w:val="32"/>
          <w:szCs w:val="20"/>
        </w:rPr>
        <w:br w:type="page"/>
      </w:r>
      <w:r>
        <w:rPr>
          <w:rFonts w:hint="eastAsia" w:ascii="宋体" w:hAnsi="宋体" w:cs="宋体"/>
          <w:b/>
          <w:kern w:val="0"/>
          <w:sz w:val="30"/>
          <w:szCs w:val="30"/>
        </w:rPr>
        <w:t xml:space="preserve"> </w:t>
      </w:r>
      <w:r>
        <w:rPr>
          <w:rFonts w:hint="eastAsia" w:ascii="宋体" w:hAnsi="宋体" w:cs="宋体"/>
          <w:b/>
          <w:sz w:val="30"/>
          <w:szCs w:val="30"/>
        </w:rPr>
        <w:t>二、开标一览表</w:t>
      </w:r>
    </w:p>
    <w:p w14:paraId="7AF19252">
      <w:pPr>
        <w:widowControl/>
        <w:spacing w:before="19" w:line="360" w:lineRule="auto"/>
        <w:ind w:firstLine="482" w:firstLineChars="200"/>
        <w:jc w:val="center"/>
        <w:rPr>
          <w:rFonts w:ascii="宋体" w:hAnsi="宋体" w:cs="宋体"/>
          <w:b/>
          <w:sz w:val="24"/>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380"/>
      </w:tblGrid>
      <w:tr w14:paraId="7E6A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8" w:hRule="exact"/>
          <w:jc w:val="center"/>
        </w:trPr>
        <w:tc>
          <w:tcPr>
            <w:tcW w:w="1440" w:type="dxa"/>
            <w:vAlign w:val="center"/>
          </w:tcPr>
          <w:p w14:paraId="73A0FFE6">
            <w:pPr>
              <w:spacing w:line="360" w:lineRule="auto"/>
              <w:jc w:val="center"/>
              <w:rPr>
                <w:rFonts w:ascii="宋体" w:hAnsi="宋体" w:cs="宋体"/>
                <w:sz w:val="24"/>
              </w:rPr>
            </w:pPr>
            <w:r>
              <w:rPr>
                <w:rFonts w:hint="eastAsia" w:ascii="宋体" w:hAnsi="宋体" w:eastAsia="宋体" w:cs="宋体"/>
                <w:sz w:val="28"/>
                <w:szCs w:val="28"/>
              </w:rPr>
              <w:t>项目名称</w:t>
            </w:r>
          </w:p>
        </w:tc>
        <w:tc>
          <w:tcPr>
            <w:tcW w:w="7380" w:type="dxa"/>
            <w:vAlign w:val="center"/>
          </w:tcPr>
          <w:p w14:paraId="334936EE">
            <w:pPr>
              <w:tabs>
                <w:tab w:val="left" w:pos="900"/>
              </w:tabs>
              <w:spacing w:line="440" w:lineRule="exact"/>
              <w:rPr>
                <w:rFonts w:ascii="宋体" w:hAnsi="宋体" w:cs="宋体"/>
                <w:b/>
                <w:sz w:val="24"/>
              </w:rPr>
            </w:pPr>
          </w:p>
        </w:tc>
      </w:tr>
      <w:tr w14:paraId="437E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jc w:val="center"/>
        </w:trPr>
        <w:tc>
          <w:tcPr>
            <w:tcW w:w="1440" w:type="dxa"/>
            <w:vAlign w:val="center"/>
          </w:tcPr>
          <w:p w14:paraId="79F1AF12">
            <w:pPr>
              <w:spacing w:line="360" w:lineRule="auto"/>
              <w:jc w:val="center"/>
              <w:rPr>
                <w:rFonts w:ascii="宋体" w:hAnsi="宋体" w:cs="宋体"/>
                <w:sz w:val="28"/>
                <w:szCs w:val="28"/>
              </w:rPr>
            </w:pPr>
            <w:r>
              <w:rPr>
                <w:rFonts w:hint="eastAsia" w:ascii="宋体" w:hAnsi="宋体" w:cs="宋体"/>
                <w:sz w:val="28"/>
                <w:szCs w:val="28"/>
              </w:rPr>
              <w:t>投标报价</w:t>
            </w:r>
          </w:p>
        </w:tc>
        <w:tc>
          <w:tcPr>
            <w:tcW w:w="7380" w:type="dxa"/>
            <w:vAlign w:val="center"/>
          </w:tcPr>
          <w:p w14:paraId="7352EAC5">
            <w:pPr>
              <w:spacing w:line="360" w:lineRule="auto"/>
              <w:rPr>
                <w:rFonts w:ascii="宋体" w:hAnsi="宋体" w:cs="宋体"/>
                <w:sz w:val="28"/>
                <w:szCs w:val="28"/>
              </w:rPr>
            </w:pPr>
            <w:r>
              <w:rPr>
                <w:rFonts w:hint="eastAsia" w:ascii="宋体" w:hAnsi="宋体" w:cs="宋体"/>
                <w:sz w:val="28"/>
                <w:szCs w:val="28"/>
              </w:rPr>
              <w:t>总价为人民币（大写）：              元</w:t>
            </w:r>
          </w:p>
        </w:tc>
      </w:tr>
    </w:tbl>
    <w:p w14:paraId="3AF461AF">
      <w:pPr>
        <w:spacing w:line="520" w:lineRule="exact"/>
        <w:rPr>
          <w:rFonts w:hint="eastAsia" w:ascii="宋体" w:hAnsi="宋体" w:cs="宋体"/>
          <w:sz w:val="28"/>
          <w:szCs w:val="28"/>
        </w:rPr>
      </w:pPr>
    </w:p>
    <w:p w14:paraId="7F7E679D">
      <w:pPr>
        <w:spacing w:line="520" w:lineRule="exact"/>
        <w:rPr>
          <w:rFonts w:ascii="宋体" w:hAnsi="宋体" w:cs="宋体"/>
          <w:sz w:val="28"/>
          <w:szCs w:val="28"/>
        </w:rPr>
      </w:pPr>
      <w:r>
        <w:rPr>
          <w:rFonts w:hint="eastAsia" w:ascii="宋体" w:hAnsi="宋体" w:cs="宋体"/>
          <w:sz w:val="28"/>
          <w:szCs w:val="28"/>
        </w:rPr>
        <w:t>供应商：</w:t>
      </w:r>
      <w:r>
        <w:rPr>
          <w:rFonts w:hint="eastAsia" w:ascii="宋体" w:hAnsi="宋体" w:cs="宋体"/>
          <w:sz w:val="28"/>
          <w:szCs w:val="28"/>
          <w:u w:val="single"/>
        </w:rPr>
        <w:t xml:space="preserve">     （加盖公章）     </w:t>
      </w:r>
    </w:p>
    <w:p w14:paraId="16462E01">
      <w:pPr>
        <w:spacing w:line="520" w:lineRule="exact"/>
        <w:rPr>
          <w:rFonts w:ascii="宋体" w:hAnsi="宋体" w:cs="宋体"/>
          <w:sz w:val="28"/>
          <w:szCs w:val="28"/>
        </w:rPr>
      </w:pPr>
      <w:r>
        <w:rPr>
          <w:rFonts w:hint="eastAsia" w:ascii="宋体" w:hAnsi="宋体" w:cs="宋体"/>
          <w:sz w:val="28"/>
          <w:szCs w:val="28"/>
        </w:rPr>
        <w:t>法定代表人或其委托受托人（</w:t>
      </w:r>
      <w:r>
        <w:rPr>
          <w:rFonts w:ascii="宋体" w:hAnsi="宋体" w:cs="宋体"/>
          <w:sz w:val="28"/>
          <w:szCs w:val="28"/>
        </w:rPr>
        <w:t>签字或盖章）</w:t>
      </w:r>
      <w:r>
        <w:rPr>
          <w:rFonts w:hint="eastAsia" w:ascii="宋体" w:hAnsi="宋体" w:cs="宋体"/>
          <w:sz w:val="28"/>
          <w:szCs w:val="28"/>
        </w:rPr>
        <w:t>：</w:t>
      </w:r>
    </w:p>
    <w:p w14:paraId="21190A14">
      <w:pPr>
        <w:pStyle w:val="23"/>
        <w:spacing w:line="340" w:lineRule="exact"/>
        <w:rPr>
          <w:rFonts w:hint="eastAsia" w:hAnsi="宋体" w:cs="宋体"/>
          <w:sz w:val="28"/>
          <w:szCs w:val="28"/>
        </w:rPr>
      </w:pPr>
    </w:p>
    <w:p w14:paraId="4CE06A7E">
      <w:pPr>
        <w:pStyle w:val="23"/>
        <w:spacing w:line="340" w:lineRule="exact"/>
        <w:rPr>
          <w:rFonts w:hint="eastAsia" w:hAnsi="宋体" w:cs="宋体"/>
          <w:sz w:val="28"/>
          <w:szCs w:val="28"/>
        </w:rPr>
      </w:pPr>
    </w:p>
    <w:p w14:paraId="0099679C">
      <w:pPr>
        <w:pStyle w:val="17"/>
        <w:spacing w:line="360" w:lineRule="auto"/>
        <w:ind w:firstLine="560" w:firstLineChars="200"/>
        <w:jc w:val="left"/>
        <w:rPr>
          <w:rFonts w:hint="eastAsia" w:ascii="Times New Roman" w:hAnsi="宋体" w:eastAsia="宋体" w:cs="宋体"/>
          <w:sz w:val="28"/>
          <w:szCs w:val="28"/>
        </w:rPr>
      </w:pPr>
      <w:r>
        <w:rPr>
          <w:rFonts w:hint="eastAsia" w:ascii="Times New Roman" w:hAnsi="宋体" w:eastAsia="宋体" w:cs="宋体"/>
          <w:sz w:val="28"/>
          <w:szCs w:val="28"/>
        </w:rPr>
        <w:t>注：1、“项目报价”包括但不限于人工及加班费、保险、劳保、管理、税费及为完成整个项目所产生的其它所有费用，以及政策性文件规定及合同包含的所有风险、责任等各项应有费用。招标文件未列明，而投标人认为其他必需的费用也需列入报价。采购人除支付本次招标项目的中标金额外不再承担其他任何费用）；</w:t>
      </w:r>
    </w:p>
    <w:p w14:paraId="5CA70D52">
      <w:pPr>
        <w:pStyle w:val="17"/>
        <w:spacing w:line="360" w:lineRule="auto"/>
        <w:ind w:firstLine="560" w:firstLineChars="200"/>
        <w:jc w:val="left"/>
        <w:rPr>
          <w:rFonts w:hint="eastAsia" w:ascii="Times New Roman" w:hAnsi="宋体" w:eastAsia="宋体" w:cs="宋体"/>
          <w:sz w:val="28"/>
          <w:szCs w:val="28"/>
        </w:rPr>
      </w:pPr>
      <w:r>
        <w:rPr>
          <w:rFonts w:hint="eastAsia" w:ascii="Times New Roman" w:hAnsi="宋体" w:eastAsia="宋体" w:cs="宋体"/>
          <w:sz w:val="28"/>
          <w:szCs w:val="28"/>
        </w:rPr>
        <w:t>2、投标人必须据实填写此表，报价所含与招标文件要求的内容一致；未按招标文件规定要求提供《开标一览表》的，将被视为无效响应；</w:t>
      </w:r>
    </w:p>
    <w:p w14:paraId="7A40FB97">
      <w:pPr>
        <w:spacing w:line="440" w:lineRule="exact"/>
        <w:ind w:firstLine="103" w:firstLineChars="32"/>
        <w:rPr>
          <w:rFonts w:ascii="宋体" w:hAnsi="宋体" w:cs="宋体"/>
          <w:b/>
          <w:kern w:val="0"/>
          <w:sz w:val="32"/>
          <w:szCs w:val="21"/>
        </w:rPr>
      </w:pPr>
    </w:p>
    <w:p w14:paraId="26423056">
      <w:pPr>
        <w:spacing w:line="440" w:lineRule="exact"/>
        <w:ind w:firstLine="103" w:firstLineChars="32"/>
        <w:rPr>
          <w:rFonts w:ascii="宋体" w:hAnsi="宋体" w:cs="宋体"/>
          <w:b/>
          <w:kern w:val="0"/>
          <w:sz w:val="32"/>
          <w:szCs w:val="21"/>
        </w:rPr>
      </w:pPr>
    </w:p>
    <w:p w14:paraId="0391A8E4">
      <w:pPr>
        <w:spacing w:line="440" w:lineRule="exact"/>
        <w:ind w:firstLine="103" w:firstLineChars="32"/>
        <w:rPr>
          <w:rFonts w:ascii="宋体" w:hAnsi="宋体" w:cs="宋体"/>
          <w:b/>
          <w:kern w:val="0"/>
          <w:sz w:val="32"/>
          <w:szCs w:val="21"/>
        </w:rPr>
      </w:pPr>
    </w:p>
    <w:p w14:paraId="45274B06">
      <w:pPr>
        <w:spacing w:line="440" w:lineRule="exact"/>
        <w:ind w:firstLine="103" w:firstLineChars="32"/>
        <w:rPr>
          <w:rFonts w:ascii="宋体" w:hAnsi="宋体" w:cs="宋体"/>
          <w:b/>
          <w:kern w:val="0"/>
          <w:sz w:val="32"/>
          <w:szCs w:val="21"/>
        </w:rPr>
      </w:pPr>
    </w:p>
    <w:p w14:paraId="5B4B4853">
      <w:pPr>
        <w:spacing w:line="440" w:lineRule="exact"/>
        <w:ind w:firstLine="103" w:firstLineChars="32"/>
        <w:rPr>
          <w:rFonts w:ascii="宋体" w:hAnsi="宋体" w:cs="宋体"/>
          <w:b/>
          <w:kern w:val="0"/>
          <w:sz w:val="32"/>
          <w:szCs w:val="21"/>
        </w:rPr>
      </w:pPr>
    </w:p>
    <w:p w14:paraId="423B6660">
      <w:pPr>
        <w:pStyle w:val="47"/>
      </w:pPr>
    </w:p>
    <w:p w14:paraId="69354BD9">
      <w:pPr>
        <w:pStyle w:val="19"/>
        <w:spacing w:before="120" w:line="440" w:lineRule="exact"/>
        <w:ind w:left="0" w:right="0" w:firstLine="154" w:firstLineChars="48"/>
        <w:jc w:val="center"/>
        <w:rPr>
          <w:rFonts w:hint="eastAsia" w:ascii="宋体" w:hAnsi="宋体" w:cs="宋体"/>
          <w:b/>
          <w:sz w:val="32"/>
          <w:lang w:val="en-US" w:eastAsia="zh-CN"/>
        </w:rPr>
      </w:pPr>
      <w:bookmarkStart w:id="34" w:name="_Toc338183640"/>
      <w:bookmarkStart w:id="35" w:name="_Ref308467597"/>
      <w:bookmarkStart w:id="36" w:name="_Ref308467073"/>
      <w:bookmarkStart w:id="37" w:name="_Ref308451905"/>
      <w:r>
        <w:rPr>
          <w:rFonts w:hint="eastAsia" w:ascii="宋体" w:hAnsi="宋体" w:eastAsia="宋体" w:cs="宋体"/>
          <w:b/>
          <w:sz w:val="32"/>
          <w:lang w:eastAsia="zh-CN"/>
        </w:rPr>
        <w:t>三</w:t>
      </w:r>
      <w:r>
        <w:rPr>
          <w:rFonts w:hint="eastAsia" w:ascii="宋体" w:hAnsi="宋体" w:eastAsia="宋体" w:cs="宋体"/>
          <w:b/>
          <w:sz w:val="32"/>
        </w:rPr>
        <w:t>、</w:t>
      </w:r>
      <w:r>
        <w:rPr>
          <w:rFonts w:hint="eastAsia" w:ascii="宋体" w:hAnsi="宋体" w:cs="宋体"/>
          <w:b/>
          <w:sz w:val="32"/>
          <w:lang w:val="en-US" w:eastAsia="zh-CN"/>
        </w:rPr>
        <w:t>报价明细表</w:t>
      </w:r>
    </w:p>
    <w:p w14:paraId="30A6DFAA">
      <w:pPr>
        <w:pStyle w:val="19"/>
        <w:spacing w:before="120" w:line="440" w:lineRule="exact"/>
        <w:ind w:left="0" w:right="0" w:firstLine="154" w:firstLineChars="48"/>
        <w:jc w:val="both"/>
        <w:rPr>
          <w:rFonts w:hint="default" w:ascii="宋体" w:hAnsi="宋体" w:cs="宋体"/>
          <w:b/>
          <w:sz w:val="32"/>
          <w:lang w:val="en-US" w:eastAsia="zh-CN"/>
        </w:rPr>
      </w:pPr>
      <w:r>
        <w:rPr>
          <w:rFonts w:hint="eastAsia" w:ascii="宋体" w:hAnsi="宋体" w:cs="宋体"/>
          <w:b/>
          <w:sz w:val="32"/>
          <w:lang w:val="en-US" w:eastAsia="zh-CN"/>
        </w:rPr>
        <w:t>格式自理</w:t>
      </w:r>
    </w:p>
    <w:p w14:paraId="471FB3E1">
      <w:pPr>
        <w:pStyle w:val="19"/>
        <w:spacing w:before="120" w:line="440" w:lineRule="exact"/>
        <w:ind w:left="0" w:right="0" w:firstLine="154" w:firstLineChars="48"/>
        <w:jc w:val="center"/>
        <w:rPr>
          <w:rFonts w:hint="default" w:ascii="宋体" w:hAnsi="宋体" w:cs="宋体"/>
          <w:b/>
          <w:sz w:val="32"/>
          <w:lang w:val="en-US" w:eastAsia="zh-CN"/>
        </w:rPr>
      </w:pPr>
    </w:p>
    <w:p w14:paraId="0520EE34">
      <w:pPr>
        <w:jc w:val="center"/>
        <w:rPr>
          <w:rFonts w:hint="eastAsia" w:ascii="宋体" w:hAnsi="宋体" w:eastAsia="宋体" w:cs="宋体"/>
          <w:b/>
          <w:color w:val="auto"/>
          <w:sz w:val="24"/>
          <w:highlight w:val="none"/>
        </w:rPr>
      </w:pPr>
    </w:p>
    <w:p w14:paraId="10C21EC3">
      <w:pPr>
        <w:jc w:val="left"/>
        <w:rPr>
          <w:rFonts w:hint="eastAsia" w:ascii="宋体" w:hAnsi="宋体" w:eastAsia="宋体" w:cs="宋体"/>
          <w:b/>
          <w:color w:val="auto"/>
          <w:sz w:val="28"/>
          <w:szCs w:val="28"/>
          <w:highlight w:val="none"/>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宋体" w:hAnsi="宋体" w:eastAsia="宋体" w:cs="宋体"/>
          <w:sz w:val="32"/>
          <w:szCs w:val="32"/>
        </w:rPr>
        <w:t>报价需明细化，分项列明人员薪酬、社保、管理服务费等组成部分</w:t>
      </w:r>
    </w:p>
    <w:p w14:paraId="3FB9FE46">
      <w:pPr>
        <w:spacing w:line="520" w:lineRule="exact"/>
        <w:rPr>
          <w:rFonts w:hint="eastAsia" w:ascii="宋体" w:hAnsi="宋体" w:eastAsia="宋体" w:cs="宋体"/>
          <w:sz w:val="28"/>
          <w:szCs w:val="28"/>
        </w:rPr>
      </w:pPr>
    </w:p>
    <w:p w14:paraId="44D36FFE">
      <w:pPr>
        <w:spacing w:line="520" w:lineRule="exact"/>
        <w:rPr>
          <w:rFonts w:hint="eastAsia" w:ascii="宋体" w:hAnsi="宋体" w:eastAsia="宋体" w:cs="宋体"/>
          <w:sz w:val="28"/>
          <w:szCs w:val="28"/>
        </w:rPr>
      </w:pPr>
    </w:p>
    <w:p w14:paraId="6758E0AC">
      <w:pPr>
        <w:spacing w:line="520" w:lineRule="exact"/>
        <w:rPr>
          <w:rFonts w:hint="eastAsia"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（加盖公章）     </w:t>
      </w:r>
    </w:p>
    <w:p w14:paraId="6611375B">
      <w:pPr>
        <w:numPr>
          <w:ilvl w:val="0"/>
          <w:numId w:val="0"/>
        </w:numPr>
        <w:spacing w:line="360" w:lineRule="auto"/>
        <w:ind w:leftChars="0"/>
        <w:rPr>
          <w:rFonts w:hint="eastAsia" w:ascii="宋体" w:hAnsi="宋体" w:eastAsia="宋体" w:cs="宋体"/>
          <w:b/>
          <w:color w:val="auto"/>
          <w:sz w:val="28"/>
          <w:szCs w:val="28"/>
          <w:highlight w:val="none"/>
        </w:rPr>
      </w:pPr>
      <w:r>
        <w:rPr>
          <w:rFonts w:hint="eastAsia" w:ascii="宋体" w:hAnsi="宋体" w:eastAsia="宋体" w:cs="宋体"/>
          <w:sz w:val="28"/>
          <w:szCs w:val="28"/>
        </w:rPr>
        <w:t>法定代表人或其委托受托人（签字或盖章）</w:t>
      </w:r>
    </w:p>
    <w:p w14:paraId="53887479">
      <w:pPr>
        <w:pStyle w:val="23"/>
        <w:ind w:left="3933"/>
        <w:rPr>
          <w:rFonts w:hint="eastAsia" w:ascii="宋体" w:hAnsi="宋体" w:eastAsia="宋体" w:cs="宋体"/>
          <w:b/>
          <w:sz w:val="32"/>
          <w:lang w:eastAsia="zh-CN"/>
        </w:rPr>
      </w:pPr>
    </w:p>
    <w:p w14:paraId="4D701DEC">
      <w:pPr>
        <w:pStyle w:val="23"/>
        <w:ind w:left="3933"/>
        <w:rPr>
          <w:rFonts w:hint="eastAsia" w:ascii="宋体" w:hAnsi="宋体" w:eastAsia="宋体" w:cs="宋体"/>
          <w:b/>
          <w:sz w:val="32"/>
          <w:lang w:eastAsia="zh-CN"/>
        </w:rPr>
      </w:pPr>
    </w:p>
    <w:p w14:paraId="4C6E2F8F">
      <w:pPr>
        <w:pStyle w:val="23"/>
        <w:ind w:left="3933"/>
        <w:rPr>
          <w:rFonts w:hint="eastAsia" w:ascii="宋体" w:hAnsi="宋体" w:eastAsia="宋体" w:cs="宋体"/>
          <w:b/>
          <w:sz w:val="32"/>
          <w:lang w:eastAsia="zh-CN"/>
        </w:rPr>
      </w:pPr>
    </w:p>
    <w:p w14:paraId="248431BF">
      <w:pPr>
        <w:pStyle w:val="23"/>
        <w:ind w:left="3933"/>
        <w:rPr>
          <w:rFonts w:hint="eastAsia" w:ascii="宋体" w:hAnsi="宋体" w:eastAsia="宋体" w:cs="宋体"/>
          <w:b/>
          <w:sz w:val="32"/>
          <w:lang w:eastAsia="zh-CN"/>
        </w:rPr>
      </w:pPr>
    </w:p>
    <w:p w14:paraId="07E305C6">
      <w:pPr>
        <w:pStyle w:val="23"/>
        <w:ind w:left="3933"/>
        <w:rPr>
          <w:rFonts w:hint="eastAsia" w:ascii="宋体" w:hAnsi="宋体" w:eastAsia="宋体" w:cs="宋体"/>
          <w:b/>
          <w:sz w:val="32"/>
          <w:lang w:eastAsia="zh-CN"/>
        </w:rPr>
      </w:pPr>
    </w:p>
    <w:p w14:paraId="02F799D8">
      <w:pPr>
        <w:pStyle w:val="23"/>
        <w:ind w:left="3933"/>
        <w:rPr>
          <w:rFonts w:hint="eastAsia" w:ascii="宋体" w:hAnsi="宋体" w:eastAsia="宋体" w:cs="宋体"/>
          <w:b/>
          <w:sz w:val="32"/>
          <w:lang w:eastAsia="zh-CN"/>
        </w:rPr>
      </w:pPr>
    </w:p>
    <w:p w14:paraId="20DA1D7D">
      <w:pPr>
        <w:pStyle w:val="23"/>
        <w:ind w:left="3933"/>
        <w:rPr>
          <w:rFonts w:hint="eastAsia" w:ascii="宋体" w:hAnsi="宋体" w:eastAsia="宋体" w:cs="宋体"/>
          <w:b/>
          <w:sz w:val="32"/>
          <w:lang w:eastAsia="zh-CN"/>
        </w:rPr>
      </w:pPr>
    </w:p>
    <w:p w14:paraId="6CAAFF02">
      <w:pPr>
        <w:pStyle w:val="23"/>
        <w:ind w:left="3933"/>
        <w:rPr>
          <w:rFonts w:hint="eastAsia" w:ascii="宋体" w:hAnsi="宋体" w:eastAsia="宋体" w:cs="宋体"/>
          <w:b/>
          <w:sz w:val="32"/>
          <w:lang w:eastAsia="zh-CN"/>
        </w:rPr>
      </w:pPr>
    </w:p>
    <w:p w14:paraId="04BD7A7E">
      <w:pPr>
        <w:pStyle w:val="23"/>
        <w:ind w:left="3933"/>
        <w:rPr>
          <w:rFonts w:hint="eastAsia" w:ascii="宋体" w:hAnsi="宋体" w:eastAsia="宋体" w:cs="宋体"/>
          <w:b/>
          <w:sz w:val="32"/>
          <w:lang w:eastAsia="zh-CN"/>
        </w:rPr>
      </w:pPr>
    </w:p>
    <w:p w14:paraId="6290375D">
      <w:pPr>
        <w:pStyle w:val="23"/>
        <w:ind w:left="3933"/>
        <w:rPr>
          <w:rFonts w:hint="eastAsia" w:ascii="宋体" w:hAnsi="宋体" w:eastAsia="宋体" w:cs="宋体"/>
          <w:b/>
          <w:sz w:val="32"/>
          <w:lang w:eastAsia="zh-CN"/>
        </w:rPr>
      </w:pPr>
    </w:p>
    <w:p w14:paraId="44404F4A">
      <w:pPr>
        <w:pStyle w:val="23"/>
        <w:ind w:left="3933"/>
        <w:rPr>
          <w:rFonts w:hint="eastAsia" w:ascii="宋体" w:hAnsi="宋体" w:eastAsia="宋体" w:cs="宋体"/>
          <w:b/>
          <w:sz w:val="32"/>
          <w:lang w:eastAsia="zh-CN"/>
        </w:rPr>
      </w:pPr>
    </w:p>
    <w:p w14:paraId="2C1A286A">
      <w:pPr>
        <w:pStyle w:val="23"/>
        <w:ind w:left="3933"/>
        <w:rPr>
          <w:rFonts w:hint="eastAsia" w:ascii="宋体" w:hAnsi="宋体" w:eastAsia="宋体" w:cs="宋体"/>
          <w:b/>
          <w:sz w:val="32"/>
          <w:lang w:eastAsia="zh-CN"/>
        </w:rPr>
      </w:pPr>
    </w:p>
    <w:p w14:paraId="5B491B32">
      <w:pPr>
        <w:pStyle w:val="23"/>
        <w:ind w:left="3933"/>
        <w:rPr>
          <w:rFonts w:hint="eastAsia" w:ascii="宋体" w:hAnsi="宋体" w:eastAsia="宋体" w:cs="宋体"/>
          <w:b/>
          <w:sz w:val="32"/>
          <w:lang w:eastAsia="zh-CN"/>
        </w:rPr>
      </w:pPr>
    </w:p>
    <w:p w14:paraId="64ED7487">
      <w:pPr>
        <w:pStyle w:val="23"/>
        <w:ind w:left="3933"/>
        <w:rPr>
          <w:rFonts w:hint="eastAsia" w:ascii="宋体" w:hAnsi="宋体" w:eastAsia="宋体" w:cs="宋体"/>
          <w:b/>
          <w:sz w:val="32"/>
          <w:lang w:eastAsia="zh-CN"/>
        </w:rPr>
      </w:pPr>
    </w:p>
    <w:p w14:paraId="0E0908C3">
      <w:pPr>
        <w:pStyle w:val="23"/>
        <w:ind w:left="3933"/>
        <w:rPr>
          <w:rFonts w:hint="eastAsia" w:ascii="宋体" w:hAnsi="宋体" w:eastAsia="宋体" w:cs="宋体"/>
          <w:b/>
          <w:sz w:val="32"/>
          <w:lang w:eastAsia="zh-CN"/>
        </w:rPr>
      </w:pPr>
    </w:p>
    <w:p w14:paraId="7483EA95">
      <w:pPr>
        <w:pStyle w:val="23"/>
        <w:ind w:left="3933"/>
        <w:rPr>
          <w:rFonts w:hint="eastAsia" w:ascii="宋体" w:hAnsi="宋体" w:eastAsia="宋体" w:cs="宋体"/>
          <w:b/>
          <w:bCs/>
          <w:sz w:val="32"/>
        </w:rPr>
      </w:pPr>
      <w:r>
        <w:rPr>
          <w:rFonts w:hint="eastAsia" w:ascii="宋体" w:hAnsi="宋体" w:eastAsia="宋体" w:cs="宋体"/>
          <w:b/>
          <w:sz w:val="32"/>
          <w:lang w:eastAsia="zh-CN"/>
        </w:rPr>
        <w:t>四</w:t>
      </w:r>
      <w:r>
        <w:rPr>
          <w:rFonts w:hint="eastAsia" w:ascii="宋体" w:hAnsi="宋体" w:eastAsia="宋体" w:cs="宋体"/>
          <w:b/>
          <w:sz w:val="32"/>
        </w:rPr>
        <w:t>、</w:t>
      </w:r>
      <w:r>
        <w:rPr>
          <w:rFonts w:hint="eastAsia" w:ascii="宋体" w:hAnsi="宋体" w:eastAsia="宋体" w:cs="宋体"/>
          <w:b/>
          <w:bCs/>
          <w:sz w:val="32"/>
        </w:rPr>
        <w:t>服务承诺</w:t>
      </w:r>
    </w:p>
    <w:p w14:paraId="1AE4D2A2">
      <w:pPr>
        <w:spacing w:line="440" w:lineRule="exact"/>
        <w:ind w:firstLine="104" w:firstLineChars="37"/>
        <w:jc w:val="center"/>
        <w:outlineLvl w:val="0"/>
        <w:rPr>
          <w:rFonts w:hint="eastAsia" w:ascii="宋体" w:hAnsi="宋体" w:eastAsia="宋体" w:cs="宋体"/>
          <w:b/>
          <w:sz w:val="24"/>
          <w:szCs w:val="24"/>
        </w:rPr>
      </w:pPr>
      <w:r>
        <w:rPr>
          <w:rFonts w:hint="eastAsia" w:ascii="宋体" w:hAnsi="宋体" w:eastAsia="宋体" w:cs="宋体"/>
          <w:b/>
          <w:sz w:val="28"/>
          <w:szCs w:val="28"/>
        </w:rPr>
        <w:t>（格式由投标人自定、加盖公章）</w:t>
      </w:r>
    </w:p>
    <w:p w14:paraId="7973235D">
      <w:pPr>
        <w:spacing w:line="440" w:lineRule="exact"/>
        <w:ind w:firstLine="89" w:firstLineChars="37"/>
        <w:outlineLvl w:val="0"/>
        <w:rPr>
          <w:rFonts w:hint="eastAsia" w:ascii="宋体" w:hAnsi="宋体" w:eastAsia="宋体" w:cs="宋体"/>
          <w:b/>
          <w:bCs/>
          <w:sz w:val="24"/>
          <w:szCs w:val="24"/>
        </w:rPr>
      </w:pPr>
    </w:p>
    <w:p w14:paraId="68733E42">
      <w:pPr>
        <w:rPr>
          <w:rFonts w:hint="eastAsia" w:ascii="宋体" w:hAnsi="宋体" w:eastAsia="宋体" w:cs="宋体"/>
          <w:b/>
          <w:bCs/>
          <w:kern w:val="0"/>
          <w:sz w:val="24"/>
          <w:szCs w:val="24"/>
        </w:rPr>
      </w:pPr>
    </w:p>
    <w:p w14:paraId="09FBC893">
      <w:pPr>
        <w:pStyle w:val="23"/>
        <w:spacing w:line="440" w:lineRule="exact"/>
        <w:ind w:firstLine="77" w:firstLineChars="32"/>
        <w:rPr>
          <w:rFonts w:hint="eastAsia" w:ascii="宋体" w:hAnsi="宋体" w:eastAsia="宋体" w:cs="宋体"/>
          <w:b/>
          <w:bCs/>
          <w:sz w:val="24"/>
          <w:szCs w:val="24"/>
        </w:rPr>
      </w:pPr>
    </w:p>
    <w:p w14:paraId="50EEC443">
      <w:pPr>
        <w:pStyle w:val="23"/>
        <w:spacing w:line="440" w:lineRule="exact"/>
        <w:ind w:firstLine="77" w:firstLineChars="32"/>
        <w:rPr>
          <w:rFonts w:hint="eastAsia" w:ascii="宋体" w:hAnsi="宋体" w:eastAsia="宋体" w:cs="宋体"/>
          <w:b/>
          <w:bCs/>
          <w:sz w:val="24"/>
          <w:szCs w:val="24"/>
        </w:rPr>
      </w:pPr>
    </w:p>
    <w:p w14:paraId="1AD1514F">
      <w:pPr>
        <w:pStyle w:val="23"/>
        <w:ind w:left="0"/>
        <w:jc w:val="left"/>
        <w:rPr>
          <w:rFonts w:hint="eastAsia" w:ascii="宋体" w:hAnsi="宋体" w:eastAsia="宋体" w:cs="宋体"/>
          <w:b/>
          <w:sz w:val="32"/>
        </w:rPr>
      </w:pPr>
      <w:r>
        <w:rPr>
          <w:rFonts w:hint="eastAsia" w:ascii="宋体" w:hAnsi="宋体" w:eastAsia="宋体" w:cs="宋体"/>
          <w:b/>
          <w:sz w:val="32"/>
          <w:lang w:eastAsia="zh-CN"/>
        </w:rPr>
        <w:t>五</w:t>
      </w:r>
      <w:r>
        <w:rPr>
          <w:rFonts w:hint="eastAsia" w:ascii="宋体" w:hAnsi="宋体" w:eastAsia="宋体" w:cs="宋体"/>
          <w:b/>
          <w:sz w:val="32"/>
        </w:rPr>
        <w:t>、投标供应商必须提交的资格证明文件（详见采购公告要求）</w:t>
      </w:r>
    </w:p>
    <w:p w14:paraId="278C14AB">
      <w:pPr>
        <w:widowControl/>
        <w:spacing w:line="440" w:lineRule="exact"/>
        <w:ind w:firstLine="157" w:firstLineChars="65"/>
        <w:jc w:val="left"/>
        <w:rPr>
          <w:rFonts w:hint="eastAsia" w:ascii="宋体" w:hAnsi="宋体" w:eastAsia="宋体" w:cs="宋体"/>
          <w:b/>
          <w:bCs/>
          <w:sz w:val="24"/>
          <w:szCs w:val="24"/>
        </w:rPr>
      </w:pPr>
    </w:p>
    <w:p w14:paraId="6E027040">
      <w:pPr>
        <w:widowControl/>
        <w:spacing w:line="440" w:lineRule="exact"/>
        <w:ind w:firstLine="157" w:firstLineChars="65"/>
        <w:jc w:val="left"/>
        <w:rPr>
          <w:rFonts w:hint="eastAsia" w:ascii="宋体" w:hAnsi="宋体" w:eastAsia="宋体" w:cs="宋体"/>
          <w:b/>
          <w:bCs/>
          <w:sz w:val="24"/>
          <w:szCs w:val="24"/>
        </w:rPr>
      </w:pPr>
    </w:p>
    <w:p w14:paraId="46A4F115">
      <w:pPr>
        <w:widowControl/>
        <w:spacing w:line="440" w:lineRule="exact"/>
        <w:ind w:firstLine="157" w:firstLineChars="65"/>
        <w:jc w:val="left"/>
        <w:rPr>
          <w:rFonts w:hint="eastAsia" w:ascii="宋体" w:hAnsi="宋体" w:eastAsia="宋体" w:cs="宋体"/>
          <w:b/>
          <w:bCs/>
          <w:sz w:val="24"/>
          <w:szCs w:val="24"/>
        </w:rPr>
      </w:pPr>
    </w:p>
    <w:p w14:paraId="26F77B47">
      <w:pPr>
        <w:pStyle w:val="23"/>
        <w:ind w:left="0"/>
        <w:jc w:val="left"/>
        <w:rPr>
          <w:rFonts w:hint="eastAsia" w:ascii="宋体" w:hAnsi="宋体" w:eastAsia="宋体" w:cs="宋体"/>
          <w:b/>
          <w:sz w:val="32"/>
        </w:rPr>
      </w:pPr>
      <w:r>
        <w:rPr>
          <w:rFonts w:hint="eastAsia" w:ascii="宋体" w:hAnsi="宋体" w:eastAsia="宋体" w:cs="宋体"/>
          <w:b/>
          <w:sz w:val="32"/>
          <w:lang w:eastAsia="zh-CN"/>
        </w:rPr>
        <w:t>六</w:t>
      </w:r>
      <w:r>
        <w:rPr>
          <w:rFonts w:hint="eastAsia" w:ascii="宋体" w:hAnsi="宋体" w:eastAsia="宋体" w:cs="宋体"/>
          <w:b/>
          <w:sz w:val="32"/>
        </w:rPr>
        <w:t>、投标人认为有必要提供并说明的其它资料</w:t>
      </w:r>
    </w:p>
    <w:p w14:paraId="6F93DFC1">
      <w:pPr>
        <w:pStyle w:val="23"/>
        <w:ind w:left="0"/>
        <w:jc w:val="left"/>
        <w:rPr>
          <w:rFonts w:hint="eastAsia" w:ascii="宋体" w:hAnsi="宋体" w:eastAsia="宋体" w:cs="宋体"/>
          <w:b/>
          <w:sz w:val="32"/>
        </w:rPr>
      </w:pPr>
      <w:r>
        <w:rPr>
          <w:rFonts w:hint="eastAsia" w:ascii="宋体" w:hAnsi="宋体" w:eastAsia="宋体" w:cs="宋体"/>
          <w:b/>
          <w:sz w:val="32"/>
        </w:rPr>
        <w:t>（格式由投标人自定）</w:t>
      </w:r>
    </w:p>
    <w:p w14:paraId="2C757E28">
      <w:pPr>
        <w:spacing w:line="440" w:lineRule="exact"/>
        <w:ind w:firstLine="104" w:firstLineChars="37"/>
        <w:rPr>
          <w:rFonts w:hint="eastAsia" w:ascii="宋体" w:hAnsi="宋体" w:eastAsia="宋体" w:cs="宋体"/>
          <w:b/>
          <w:bCs/>
          <w:sz w:val="28"/>
          <w:szCs w:val="28"/>
        </w:rPr>
      </w:pPr>
    </w:p>
    <w:p w14:paraId="3C6071E9">
      <w:pPr>
        <w:spacing w:line="440" w:lineRule="exact"/>
        <w:ind w:firstLine="104" w:firstLineChars="37"/>
        <w:rPr>
          <w:rFonts w:hint="eastAsia" w:ascii="宋体" w:hAnsi="宋体" w:eastAsia="宋体" w:cs="宋体"/>
          <w:b/>
          <w:bCs/>
          <w:sz w:val="28"/>
          <w:szCs w:val="28"/>
        </w:rPr>
      </w:pPr>
      <w:r>
        <w:rPr>
          <w:rFonts w:hint="eastAsia" w:ascii="宋体" w:hAnsi="宋体" w:eastAsia="宋体" w:cs="宋体"/>
          <w:b/>
          <w:bCs/>
          <w:sz w:val="28"/>
          <w:szCs w:val="28"/>
        </w:rPr>
        <w:t>注：</w:t>
      </w:r>
    </w:p>
    <w:p w14:paraId="79009BF5">
      <w:pPr>
        <w:spacing w:line="44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1、请投标人按照以上文件的要求格式、内容，顺序制作投标文件，否则，将影响对投标文件的评价。</w:t>
      </w:r>
    </w:p>
    <w:p w14:paraId="2C4A6C16">
      <w:pPr>
        <w:widowControl/>
        <w:spacing w:line="440" w:lineRule="exact"/>
        <w:ind w:firstLine="562" w:firstLineChars="200"/>
        <w:jc w:val="left"/>
        <w:rPr>
          <w:rFonts w:hint="eastAsia" w:ascii="宋体" w:hAnsi="宋体" w:eastAsia="宋体" w:cs="宋体"/>
          <w:b/>
          <w:sz w:val="28"/>
          <w:szCs w:val="28"/>
        </w:rPr>
      </w:pPr>
      <w:r>
        <w:rPr>
          <w:rFonts w:hint="eastAsia" w:ascii="宋体" w:hAnsi="宋体" w:eastAsia="宋体" w:cs="宋体"/>
          <w:b/>
          <w:bCs/>
          <w:sz w:val="28"/>
          <w:szCs w:val="28"/>
        </w:rPr>
        <w:t>2、投标人所提供的资格证明材料应真实、有效，采购人保留对投标人提供的资格证明材料进行核查的权利。如发现投标人提供虚假资格证明材料，招标人将对其进行严肃处理。</w:t>
      </w:r>
    </w:p>
    <w:p w14:paraId="3B6C2EEA">
      <w:pPr>
        <w:spacing w:line="440" w:lineRule="exact"/>
        <w:rPr>
          <w:rFonts w:hint="eastAsia" w:ascii="宋体" w:hAnsi="宋体" w:cs="宋体"/>
          <w:b/>
          <w:sz w:val="32"/>
          <w:szCs w:val="32"/>
        </w:rPr>
      </w:pPr>
    </w:p>
    <w:p w14:paraId="2D546C76">
      <w:pPr>
        <w:spacing w:line="440" w:lineRule="exact"/>
        <w:rPr>
          <w:rFonts w:hint="eastAsia" w:ascii="宋体" w:hAnsi="宋体" w:cs="宋体"/>
          <w:b/>
          <w:sz w:val="32"/>
          <w:szCs w:val="32"/>
        </w:rPr>
      </w:pPr>
    </w:p>
    <w:p w14:paraId="7625489D">
      <w:pPr>
        <w:spacing w:line="440" w:lineRule="exact"/>
        <w:rPr>
          <w:rFonts w:hint="eastAsia" w:ascii="宋体" w:hAnsi="宋体" w:cs="宋体"/>
          <w:b/>
          <w:sz w:val="32"/>
          <w:szCs w:val="32"/>
        </w:rPr>
      </w:pPr>
    </w:p>
    <w:p w14:paraId="2F4B8F96">
      <w:pPr>
        <w:spacing w:line="440" w:lineRule="exact"/>
        <w:rPr>
          <w:rFonts w:hint="eastAsia" w:ascii="宋体" w:hAnsi="宋体" w:cs="宋体"/>
          <w:b/>
          <w:sz w:val="32"/>
          <w:szCs w:val="32"/>
        </w:rPr>
      </w:pPr>
    </w:p>
    <w:p w14:paraId="5E994F5E">
      <w:pPr>
        <w:spacing w:line="440" w:lineRule="exact"/>
        <w:rPr>
          <w:rFonts w:hint="eastAsia" w:ascii="宋体" w:hAnsi="宋体" w:cs="宋体"/>
          <w:b/>
          <w:sz w:val="32"/>
          <w:szCs w:val="32"/>
        </w:rPr>
      </w:pPr>
    </w:p>
    <w:p w14:paraId="7A0D28C4">
      <w:pPr>
        <w:spacing w:line="440" w:lineRule="exact"/>
        <w:rPr>
          <w:rFonts w:hint="eastAsia" w:ascii="宋体" w:hAnsi="宋体" w:cs="宋体"/>
          <w:b/>
          <w:sz w:val="32"/>
          <w:szCs w:val="32"/>
        </w:rPr>
      </w:pPr>
    </w:p>
    <w:p w14:paraId="12D57146">
      <w:pPr>
        <w:spacing w:line="440" w:lineRule="exact"/>
        <w:rPr>
          <w:rFonts w:hint="eastAsia" w:ascii="宋体" w:hAnsi="宋体" w:cs="宋体"/>
          <w:b/>
          <w:sz w:val="32"/>
          <w:szCs w:val="32"/>
        </w:rPr>
      </w:pPr>
    </w:p>
    <w:p w14:paraId="43DCE2A2">
      <w:pPr>
        <w:spacing w:line="440" w:lineRule="exact"/>
        <w:rPr>
          <w:rFonts w:hint="eastAsia" w:ascii="宋体" w:hAnsi="宋体" w:cs="宋体"/>
          <w:b/>
          <w:sz w:val="32"/>
          <w:szCs w:val="32"/>
        </w:rPr>
      </w:pPr>
    </w:p>
    <w:p w14:paraId="3FB3EF75">
      <w:pPr>
        <w:spacing w:line="440" w:lineRule="exact"/>
        <w:rPr>
          <w:rFonts w:hint="eastAsia" w:ascii="宋体" w:hAnsi="宋体" w:cs="宋体"/>
          <w:b/>
          <w:sz w:val="32"/>
          <w:szCs w:val="32"/>
        </w:rPr>
      </w:pPr>
    </w:p>
    <w:p w14:paraId="0399B145">
      <w:pPr>
        <w:spacing w:line="440" w:lineRule="exact"/>
        <w:rPr>
          <w:rFonts w:ascii="宋体" w:cs="宋体"/>
          <w:b/>
          <w:sz w:val="32"/>
          <w:szCs w:val="32"/>
        </w:rPr>
      </w:pPr>
      <w:r>
        <w:rPr>
          <w:rFonts w:hint="eastAsia" w:ascii="宋体" w:hAnsi="宋体" w:cs="宋体"/>
          <w:b/>
          <w:sz w:val="32"/>
          <w:szCs w:val="32"/>
        </w:rPr>
        <w:t>示范格式一</w:t>
      </w:r>
    </w:p>
    <w:p w14:paraId="1C6F24BF">
      <w:pPr>
        <w:autoSpaceDE w:val="0"/>
        <w:autoSpaceDN w:val="0"/>
        <w:adjustRightInd w:val="0"/>
        <w:spacing w:line="440" w:lineRule="exact"/>
        <w:ind w:firstLine="643" w:firstLineChars="200"/>
        <w:jc w:val="center"/>
        <w:rPr>
          <w:rFonts w:ascii="宋体" w:cs="宋体"/>
          <w:b/>
          <w:bCs/>
          <w:sz w:val="32"/>
          <w:szCs w:val="32"/>
          <w:lang w:val="zh-CN"/>
        </w:rPr>
      </w:pPr>
      <w:r>
        <w:rPr>
          <w:rFonts w:hint="eastAsia" w:ascii="宋体" w:hAnsi="宋体" w:cs="宋体"/>
          <w:b/>
          <w:bCs/>
          <w:sz w:val="32"/>
          <w:szCs w:val="32"/>
          <w:lang w:val="zh-CN"/>
        </w:rPr>
        <w:t>法定代表人资格证明</w:t>
      </w:r>
    </w:p>
    <w:p w14:paraId="33FC0B6B">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单位名称：</w:t>
      </w:r>
    </w:p>
    <w:p w14:paraId="3DED2E1A">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单位性质：</w:t>
      </w:r>
    </w:p>
    <w:p w14:paraId="60FE41D1">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地址：</w:t>
      </w:r>
    </w:p>
    <w:p w14:paraId="74841CE7">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成立时间：      年   月   日</w:t>
      </w:r>
    </w:p>
    <w:p w14:paraId="6EEF5282">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经营期限：</w:t>
      </w:r>
    </w:p>
    <w:p w14:paraId="7E73E2AD">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姓名：      性别：      年龄：       职务：</w:t>
      </w:r>
    </w:p>
    <w:p w14:paraId="34A7CA9C">
      <w:pPr>
        <w:spacing w:line="440" w:lineRule="exact"/>
        <w:ind w:firstLine="560" w:firstLineChars="200"/>
        <w:rPr>
          <w:rFonts w:asci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（投标人单位名称）</w:t>
      </w:r>
      <w:r>
        <w:rPr>
          <w:rFonts w:hint="eastAsia" w:ascii="宋体" w:hAnsi="宋体" w:cs="宋体"/>
          <w:sz w:val="28"/>
          <w:szCs w:val="28"/>
          <w:lang w:val="zh-CN"/>
        </w:rPr>
        <w:t>的法定代表人。</w:t>
      </w:r>
      <w:r>
        <w:rPr>
          <w:rFonts w:hint="eastAsia" w:ascii="宋体" w:hAnsi="宋体" w:cs="宋体"/>
          <w:sz w:val="28"/>
        </w:rPr>
        <w:t>为参与项目，签署上述项目的投标文件、进行招标、签署合同和处理与之有关的一切事务。</w:t>
      </w:r>
    </w:p>
    <w:p w14:paraId="3326D1D2">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特此证明。</w:t>
      </w:r>
    </w:p>
    <w:p w14:paraId="4B2C2B41">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投标人法定代表人</w:t>
      </w:r>
      <w:r>
        <w:rPr>
          <w:rFonts w:hint="eastAsia" w:ascii="宋体" w:hAnsi="宋体" w:cs="宋体"/>
          <w:b/>
          <w:bCs/>
          <w:sz w:val="28"/>
          <w:szCs w:val="28"/>
        </w:rPr>
        <w:t>参加投标的，必须附</w:t>
      </w:r>
      <w:r>
        <w:rPr>
          <w:rFonts w:hint="eastAsia" w:ascii="宋体" w:hAnsi="宋体" w:cs="宋体"/>
          <w:b/>
          <w:bCs/>
          <w:sz w:val="28"/>
        </w:rPr>
        <w:t>法定代表人</w:t>
      </w:r>
      <w:r>
        <w:rPr>
          <w:rFonts w:hint="eastAsia" w:ascii="宋体" w:hAnsi="宋体" w:cs="宋体"/>
          <w:b/>
          <w:bCs/>
          <w:sz w:val="28"/>
          <w:szCs w:val="28"/>
        </w:rPr>
        <w:t>身份证复印件并加盖委托单位公章，参加投标时</w:t>
      </w:r>
      <w:r>
        <w:rPr>
          <w:rFonts w:hint="eastAsia" w:ascii="宋体" w:hAnsi="宋体" w:cs="宋体"/>
          <w:b/>
          <w:bCs/>
          <w:sz w:val="28"/>
        </w:rPr>
        <w:t>法定代表人</w:t>
      </w:r>
      <w:r>
        <w:rPr>
          <w:rFonts w:hint="eastAsia" w:ascii="宋体" w:hAnsi="宋体" w:cs="宋体"/>
          <w:b/>
          <w:bCs/>
          <w:sz w:val="28"/>
          <w:szCs w:val="28"/>
        </w:rPr>
        <w:t>将身份证原件带至现场备查。</w:t>
      </w:r>
    </w:p>
    <w:p w14:paraId="798B58A2">
      <w:pPr>
        <w:spacing w:line="440" w:lineRule="exact"/>
        <w:ind w:firstLine="560" w:firstLineChars="200"/>
        <w:rPr>
          <w:rFonts w:ascii="宋体" w:cs="宋体"/>
          <w:sz w:val="28"/>
          <w:szCs w:val="28"/>
        </w:rPr>
      </w:pPr>
    </w:p>
    <w:p w14:paraId="3BB7A2E3">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投标人：</w:t>
      </w:r>
      <w:r>
        <w:rPr>
          <w:rFonts w:ascii="宋体" w:hAnsi="宋体" w:cs="宋体"/>
          <w:sz w:val="28"/>
          <w:szCs w:val="28"/>
          <w:lang w:val="zh-CN"/>
        </w:rPr>
        <w:t xml:space="preserve">                  (</w:t>
      </w:r>
      <w:r>
        <w:rPr>
          <w:rFonts w:hint="eastAsia" w:ascii="宋体" w:hAnsi="宋体" w:cs="宋体"/>
          <w:sz w:val="28"/>
          <w:szCs w:val="28"/>
          <w:lang w:val="zh-CN"/>
        </w:rPr>
        <w:t>盖章</w:t>
      </w:r>
      <w:r>
        <w:rPr>
          <w:rFonts w:ascii="宋体" w:hAnsi="宋体" w:cs="宋体"/>
          <w:sz w:val="28"/>
          <w:szCs w:val="28"/>
          <w:lang w:val="zh-CN"/>
        </w:rPr>
        <w:t>)</w:t>
      </w:r>
    </w:p>
    <w:p w14:paraId="1C31508C">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日期：年  月</w:t>
      </w:r>
    </w:p>
    <w:p w14:paraId="191FACC3">
      <w:pPr>
        <w:autoSpaceDE w:val="0"/>
        <w:autoSpaceDN w:val="0"/>
        <w:adjustRightInd w:val="0"/>
        <w:spacing w:line="300" w:lineRule="auto"/>
        <w:ind w:firstLine="643" w:firstLineChars="200"/>
        <w:jc w:val="center"/>
        <w:rPr>
          <w:rFonts w:ascii="宋体" w:cs="宋体"/>
          <w:b/>
          <w:sz w:val="32"/>
        </w:rPr>
      </w:pPr>
    </w:p>
    <w:p w14:paraId="69831001">
      <w:pPr>
        <w:autoSpaceDE w:val="0"/>
        <w:autoSpaceDN w:val="0"/>
        <w:adjustRightInd w:val="0"/>
        <w:spacing w:line="300" w:lineRule="auto"/>
        <w:ind w:firstLine="643" w:firstLineChars="200"/>
        <w:jc w:val="center"/>
        <w:rPr>
          <w:rFonts w:ascii="宋体" w:cs="宋体"/>
          <w:b/>
          <w:sz w:val="32"/>
        </w:rPr>
      </w:pPr>
    </w:p>
    <w:p w14:paraId="4AADB4F2">
      <w:pPr>
        <w:autoSpaceDE w:val="0"/>
        <w:autoSpaceDN w:val="0"/>
        <w:adjustRightInd w:val="0"/>
        <w:spacing w:line="300" w:lineRule="auto"/>
        <w:ind w:firstLine="643" w:firstLineChars="200"/>
        <w:jc w:val="center"/>
        <w:rPr>
          <w:rFonts w:ascii="宋体" w:cs="宋体"/>
          <w:b/>
          <w:sz w:val="32"/>
        </w:rPr>
      </w:pPr>
    </w:p>
    <w:p w14:paraId="26B7020E">
      <w:pPr>
        <w:autoSpaceDE w:val="0"/>
        <w:autoSpaceDN w:val="0"/>
        <w:adjustRightInd w:val="0"/>
        <w:spacing w:line="300" w:lineRule="auto"/>
        <w:ind w:firstLine="643" w:firstLineChars="200"/>
        <w:jc w:val="center"/>
        <w:rPr>
          <w:rFonts w:ascii="宋体" w:cs="宋体"/>
          <w:b/>
          <w:sz w:val="32"/>
        </w:rPr>
      </w:pPr>
    </w:p>
    <w:p w14:paraId="14841917">
      <w:pPr>
        <w:autoSpaceDE w:val="0"/>
        <w:autoSpaceDN w:val="0"/>
        <w:adjustRightInd w:val="0"/>
        <w:spacing w:line="300" w:lineRule="auto"/>
        <w:ind w:firstLine="643" w:firstLineChars="200"/>
        <w:jc w:val="center"/>
        <w:rPr>
          <w:rFonts w:ascii="宋体" w:cs="宋体"/>
          <w:b/>
          <w:sz w:val="32"/>
        </w:rPr>
      </w:pPr>
    </w:p>
    <w:p w14:paraId="18AAC39C">
      <w:pPr>
        <w:autoSpaceDE w:val="0"/>
        <w:autoSpaceDN w:val="0"/>
        <w:adjustRightInd w:val="0"/>
        <w:spacing w:line="300" w:lineRule="auto"/>
        <w:ind w:firstLine="643" w:firstLineChars="200"/>
        <w:jc w:val="center"/>
        <w:rPr>
          <w:rFonts w:ascii="宋体" w:cs="宋体"/>
          <w:b/>
          <w:sz w:val="32"/>
        </w:rPr>
      </w:pPr>
    </w:p>
    <w:p w14:paraId="54C42FC9">
      <w:pPr>
        <w:autoSpaceDE w:val="0"/>
        <w:autoSpaceDN w:val="0"/>
        <w:adjustRightInd w:val="0"/>
        <w:spacing w:line="300" w:lineRule="auto"/>
        <w:ind w:firstLine="643" w:firstLineChars="200"/>
        <w:jc w:val="center"/>
        <w:rPr>
          <w:rFonts w:ascii="宋体" w:cs="宋体"/>
          <w:b/>
          <w:sz w:val="32"/>
        </w:rPr>
      </w:pPr>
    </w:p>
    <w:p w14:paraId="1C4C236E">
      <w:pPr>
        <w:pStyle w:val="47"/>
      </w:pPr>
    </w:p>
    <w:p w14:paraId="4BC9D07E">
      <w:pPr>
        <w:autoSpaceDE w:val="0"/>
        <w:autoSpaceDN w:val="0"/>
        <w:adjustRightInd w:val="0"/>
        <w:spacing w:line="300" w:lineRule="auto"/>
        <w:ind w:firstLine="643" w:firstLineChars="200"/>
        <w:rPr>
          <w:rFonts w:ascii="宋体" w:cs="宋体"/>
          <w:sz w:val="28"/>
          <w:szCs w:val="28"/>
          <w:lang w:val="zh-CN"/>
        </w:rPr>
      </w:pPr>
      <w:r>
        <w:rPr>
          <w:rFonts w:hint="eastAsia" w:ascii="宋体" w:hAnsi="宋体" w:cs="宋体"/>
          <w:b/>
          <w:sz w:val="32"/>
        </w:rPr>
        <w:t>示范格式二</w:t>
      </w:r>
    </w:p>
    <w:p w14:paraId="40FCC903">
      <w:pPr>
        <w:spacing w:line="440" w:lineRule="exact"/>
        <w:ind w:firstLine="3694" w:firstLineChars="1150"/>
        <w:rPr>
          <w:rFonts w:ascii="宋体" w:cs="宋体"/>
          <w:b/>
          <w:bCs/>
          <w:sz w:val="28"/>
        </w:rPr>
      </w:pPr>
      <w:r>
        <w:rPr>
          <w:rFonts w:hint="eastAsia" w:ascii="宋体" w:hAnsi="宋体" w:cs="宋体"/>
          <w:b/>
          <w:bCs/>
          <w:sz w:val="32"/>
        </w:rPr>
        <w:t>授权委托书</w:t>
      </w:r>
    </w:p>
    <w:p w14:paraId="668C4E5D">
      <w:pPr>
        <w:spacing w:line="440" w:lineRule="exact"/>
        <w:ind w:firstLine="602" w:firstLineChars="200"/>
        <w:rPr>
          <w:rFonts w:ascii="宋体" w:hAnsi="宋体" w:cs="宋体"/>
          <w:b/>
          <w:bCs/>
          <w:sz w:val="30"/>
          <w:szCs w:val="28"/>
        </w:rPr>
      </w:pPr>
    </w:p>
    <w:p w14:paraId="6380F2D7">
      <w:pPr>
        <w:spacing w:line="440" w:lineRule="exact"/>
        <w:ind w:firstLine="602" w:firstLineChars="200"/>
        <w:rPr>
          <w:rFonts w:ascii="宋体" w:cs="宋体"/>
          <w:b/>
          <w:bCs/>
          <w:sz w:val="30"/>
          <w:szCs w:val="28"/>
        </w:rPr>
      </w:pPr>
      <w:r>
        <w:rPr>
          <w:rFonts w:hint="eastAsia" w:ascii="宋体" w:hAnsi="宋体" w:cs="宋体"/>
          <w:b/>
          <w:bCs/>
          <w:sz w:val="30"/>
          <w:szCs w:val="28"/>
        </w:rPr>
        <w:t xml:space="preserve">致  </w:t>
      </w:r>
      <w:r>
        <w:rPr>
          <w:rFonts w:hint="eastAsia" w:ascii="宋体" w:hAnsi="宋体" w:cs="宋体"/>
          <w:b/>
          <w:bCs/>
          <w:sz w:val="30"/>
          <w:szCs w:val="28"/>
          <w:u w:val="single"/>
        </w:rPr>
        <w:t>（采购单位）</w:t>
      </w:r>
      <w:r>
        <w:rPr>
          <w:rFonts w:hint="eastAsia" w:ascii="宋体" w:hAnsi="宋体" w:cs="宋体"/>
          <w:b/>
          <w:bCs/>
          <w:sz w:val="30"/>
          <w:szCs w:val="28"/>
        </w:rPr>
        <w:t>：</w:t>
      </w:r>
    </w:p>
    <w:p w14:paraId="4E0BA2C2">
      <w:pPr>
        <w:spacing w:line="440" w:lineRule="exact"/>
        <w:ind w:firstLine="560" w:firstLineChars="200"/>
        <w:rPr>
          <w:rFonts w:ascii="宋体" w:cs="宋体"/>
          <w:sz w:val="28"/>
          <w:szCs w:val="28"/>
        </w:rPr>
      </w:pPr>
      <w:r>
        <w:rPr>
          <w:rFonts w:hint="eastAsia" w:ascii="宋体" w:hAnsi="宋体" w:cs="宋体"/>
          <w:sz w:val="28"/>
          <w:szCs w:val="28"/>
        </w:rPr>
        <w:t>本授权书宣告：</w:t>
      </w:r>
    </w:p>
    <w:p w14:paraId="683178A3">
      <w:pPr>
        <w:snapToGrid w:val="0"/>
        <w:spacing w:line="440" w:lineRule="exact"/>
        <w:ind w:firstLine="560" w:firstLineChars="200"/>
        <w:rPr>
          <w:rFonts w:ascii="宋体" w:cs="宋体"/>
          <w:sz w:val="28"/>
          <w:szCs w:val="28"/>
          <w:u w:val="single"/>
        </w:rPr>
      </w:pPr>
      <w:r>
        <w:rPr>
          <w:rFonts w:hint="eastAsia" w:ascii="宋体" w:hAnsi="宋体" w:cs="宋体"/>
          <w:sz w:val="28"/>
          <w:szCs w:val="28"/>
        </w:rPr>
        <w:t>委托方：</w:t>
      </w:r>
    </w:p>
    <w:p w14:paraId="2941411C">
      <w:pPr>
        <w:snapToGrid w:val="0"/>
        <w:spacing w:line="440" w:lineRule="exact"/>
        <w:ind w:firstLine="560" w:firstLineChars="200"/>
        <w:rPr>
          <w:rFonts w:ascii="宋体" w:cs="宋体"/>
          <w:sz w:val="28"/>
          <w:szCs w:val="28"/>
        </w:rPr>
      </w:pPr>
      <w:r>
        <w:rPr>
          <w:rFonts w:hint="eastAsia" w:ascii="宋体" w:hAnsi="宋体" w:cs="宋体"/>
          <w:sz w:val="28"/>
          <w:szCs w:val="28"/>
        </w:rPr>
        <w:t>地址：法定代表人：</w:t>
      </w:r>
    </w:p>
    <w:p w14:paraId="258F6A26">
      <w:pPr>
        <w:snapToGrid w:val="0"/>
        <w:spacing w:line="440" w:lineRule="exact"/>
        <w:ind w:firstLine="560" w:firstLineChars="200"/>
        <w:rPr>
          <w:rFonts w:ascii="宋体" w:cs="宋体"/>
          <w:sz w:val="28"/>
          <w:szCs w:val="28"/>
        </w:rPr>
      </w:pPr>
      <w:r>
        <w:rPr>
          <w:rFonts w:hint="eastAsia" w:ascii="宋体" w:hAnsi="宋体" w:cs="宋体"/>
          <w:sz w:val="28"/>
          <w:szCs w:val="28"/>
        </w:rPr>
        <w:t>受托人：     姓名：   性别：     出生日期：  年  月  日</w:t>
      </w:r>
    </w:p>
    <w:p w14:paraId="31045A2F">
      <w:pPr>
        <w:snapToGrid w:val="0"/>
        <w:spacing w:line="440" w:lineRule="exact"/>
        <w:ind w:firstLine="560" w:firstLineChars="200"/>
        <w:rPr>
          <w:rFonts w:ascii="宋体" w:cs="宋体"/>
          <w:sz w:val="28"/>
          <w:szCs w:val="28"/>
        </w:rPr>
      </w:pPr>
      <w:r>
        <w:rPr>
          <w:rFonts w:hint="eastAsia" w:ascii="宋体" w:hAnsi="宋体" w:cs="宋体"/>
          <w:sz w:val="28"/>
          <w:szCs w:val="28"/>
        </w:rPr>
        <w:t>所在单位：              职务：</w:t>
      </w:r>
    </w:p>
    <w:p w14:paraId="2F3D2891">
      <w:pPr>
        <w:snapToGrid w:val="0"/>
        <w:spacing w:line="440" w:lineRule="exact"/>
        <w:ind w:firstLine="560" w:firstLineChars="200"/>
        <w:rPr>
          <w:rFonts w:ascii="宋体" w:cs="宋体"/>
          <w:sz w:val="28"/>
          <w:szCs w:val="28"/>
        </w:rPr>
      </w:pPr>
      <w:r>
        <w:rPr>
          <w:rFonts w:hint="eastAsia" w:ascii="宋体" w:hAnsi="宋体" w:cs="宋体"/>
          <w:sz w:val="28"/>
          <w:szCs w:val="28"/>
        </w:rPr>
        <w:t>身份证：                联系方式：</w:t>
      </w:r>
    </w:p>
    <w:p w14:paraId="65722964">
      <w:pPr>
        <w:snapToGrid w:val="0"/>
        <w:spacing w:line="440" w:lineRule="exact"/>
        <w:ind w:firstLine="560" w:firstLineChars="200"/>
        <w:rPr>
          <w:rFonts w:ascii="宋体" w:cs="宋体"/>
          <w:sz w:val="28"/>
          <w:szCs w:val="28"/>
        </w:rPr>
      </w:pPr>
      <w:r>
        <w:rPr>
          <w:rFonts w:hint="eastAsia" w:ascii="宋体" w:hAnsi="宋体" w:cs="宋体"/>
          <w:sz w:val="28"/>
          <w:szCs w:val="28"/>
        </w:rPr>
        <w:t>兹委托受托人代表我公司参加的贵公司的采购活动，受托人有权在该招标活动中，以我单位的名义签署投标函和招标文件，与招标人协商、澄清、解释，签订合同书并执行一切与此有关的事项。</w:t>
      </w:r>
    </w:p>
    <w:p w14:paraId="51A67243">
      <w:pPr>
        <w:snapToGrid w:val="0"/>
        <w:spacing w:line="440" w:lineRule="exact"/>
        <w:ind w:firstLine="560" w:firstLineChars="200"/>
        <w:rPr>
          <w:rFonts w:ascii="宋体" w:cs="宋体"/>
          <w:sz w:val="28"/>
          <w:szCs w:val="28"/>
        </w:rPr>
      </w:pPr>
      <w:r>
        <w:rPr>
          <w:rFonts w:hint="eastAsia" w:ascii="宋体" w:hAnsi="宋体" w:cs="宋体"/>
          <w:sz w:val="28"/>
          <w:szCs w:val="28"/>
        </w:rPr>
        <w:t>受托人在办理上述事宜过程中以其自己的名义所签署的所有文件我公司均予以承认。受托人无转委托权。</w:t>
      </w:r>
    </w:p>
    <w:p w14:paraId="6923FA1B">
      <w:pPr>
        <w:snapToGrid w:val="0"/>
        <w:spacing w:line="440" w:lineRule="exact"/>
        <w:ind w:firstLine="560" w:firstLineChars="200"/>
        <w:rPr>
          <w:rFonts w:ascii="宋体" w:cs="宋体"/>
          <w:sz w:val="28"/>
          <w:szCs w:val="28"/>
        </w:rPr>
      </w:pPr>
      <w:r>
        <w:rPr>
          <w:rFonts w:hint="eastAsia" w:ascii="宋体" w:hAnsi="宋体" w:cs="宋体"/>
          <w:sz w:val="28"/>
          <w:szCs w:val="28"/>
        </w:rPr>
        <w:t>委托期限：至上述事宜处理完毕止。</w:t>
      </w:r>
    </w:p>
    <w:p w14:paraId="6A2BCA98">
      <w:pPr>
        <w:snapToGrid w:val="0"/>
        <w:spacing w:line="360" w:lineRule="auto"/>
        <w:ind w:firstLine="560" w:firstLineChars="200"/>
        <w:rPr>
          <w:rFonts w:ascii="宋体" w:cs="宋体"/>
          <w:sz w:val="28"/>
          <w:szCs w:val="28"/>
        </w:rPr>
      </w:pPr>
    </w:p>
    <w:p w14:paraId="2799638D">
      <w:pPr>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 xml:space="preserve">                      委托单位</w:t>
      </w:r>
      <w:r>
        <w:rPr>
          <w:rFonts w:hint="eastAsia" w:ascii="宋体" w:hAnsi="宋体" w:cs="宋体"/>
          <w:sz w:val="28"/>
          <w:szCs w:val="28"/>
          <w:u w:val="single"/>
        </w:rPr>
        <w:t>（公章）</w:t>
      </w:r>
    </w:p>
    <w:p w14:paraId="5A18491F">
      <w:pPr>
        <w:snapToGrid w:val="0"/>
        <w:spacing w:line="360" w:lineRule="auto"/>
        <w:ind w:firstLine="560" w:firstLineChars="200"/>
        <w:rPr>
          <w:rFonts w:ascii="宋体" w:cs="宋体"/>
          <w:sz w:val="28"/>
          <w:szCs w:val="28"/>
          <w:u w:val="single"/>
        </w:rPr>
      </w:pPr>
    </w:p>
    <w:p w14:paraId="69F36043">
      <w:pPr>
        <w:snapToGrid w:val="0"/>
        <w:spacing w:line="360" w:lineRule="auto"/>
        <w:ind w:firstLine="560" w:firstLineChars="200"/>
        <w:rPr>
          <w:rFonts w:ascii="宋体" w:cs="宋体"/>
          <w:sz w:val="28"/>
          <w:szCs w:val="28"/>
        </w:rPr>
      </w:pPr>
      <w:r>
        <w:rPr>
          <w:rFonts w:hint="eastAsia" w:ascii="宋体" w:hAnsi="宋体" w:cs="宋体"/>
          <w:sz w:val="28"/>
          <w:szCs w:val="28"/>
        </w:rPr>
        <w:t xml:space="preserve">                             二</w:t>
      </w:r>
      <w:r>
        <w:rPr>
          <w:rFonts w:ascii="宋体" w:hAnsi="宋体" w:cs="宋体"/>
          <w:sz w:val="28"/>
          <w:szCs w:val="28"/>
        </w:rPr>
        <w:t xml:space="preserve">0  </w:t>
      </w:r>
      <w:r>
        <w:rPr>
          <w:rFonts w:hint="eastAsia" w:ascii="宋体" w:hAnsi="宋体" w:cs="宋体"/>
          <w:sz w:val="28"/>
          <w:szCs w:val="28"/>
        </w:rPr>
        <w:t xml:space="preserve">年 </w:t>
      </w:r>
      <w:r>
        <w:rPr>
          <w:rFonts w:ascii="宋体" w:hAnsi="宋体" w:cs="宋体"/>
          <w:sz w:val="28"/>
          <w:szCs w:val="28"/>
        </w:rPr>
        <w:t xml:space="preserve">  </w:t>
      </w:r>
      <w:r>
        <w:rPr>
          <w:rFonts w:hint="eastAsia" w:ascii="宋体" w:hAnsi="宋体" w:cs="宋体"/>
          <w:sz w:val="28"/>
          <w:szCs w:val="28"/>
        </w:rPr>
        <w:t xml:space="preserve">月 </w:t>
      </w:r>
      <w:r>
        <w:rPr>
          <w:rFonts w:ascii="宋体" w:hAnsi="宋体" w:cs="宋体"/>
          <w:sz w:val="28"/>
          <w:szCs w:val="28"/>
        </w:rPr>
        <w:t xml:space="preserve">  </w:t>
      </w:r>
      <w:r>
        <w:rPr>
          <w:rFonts w:hint="eastAsia" w:ascii="宋体" w:hAnsi="宋体" w:cs="宋体"/>
          <w:sz w:val="28"/>
          <w:szCs w:val="28"/>
        </w:rPr>
        <w:t>日</w:t>
      </w:r>
    </w:p>
    <w:p w14:paraId="78E8C495">
      <w:pPr>
        <w:spacing w:line="440" w:lineRule="exact"/>
        <w:ind w:firstLine="562" w:firstLineChars="200"/>
        <w:rPr>
          <w:rFonts w:ascii="宋体" w:cs="宋体"/>
          <w:b/>
          <w:bCs/>
          <w:sz w:val="28"/>
        </w:rPr>
      </w:pPr>
    </w:p>
    <w:p w14:paraId="5D187DC4">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投标人委托</w:t>
      </w:r>
      <w:r>
        <w:rPr>
          <w:rFonts w:hint="eastAsia" w:ascii="宋体" w:hAnsi="宋体" w:cs="宋体"/>
          <w:b/>
          <w:bCs/>
          <w:sz w:val="28"/>
          <w:szCs w:val="28"/>
        </w:rPr>
        <w:t>受托人参加投标的，必须附受托人身份证复印件并加盖委托单位公章，参加投标时受托人将身份证原件带至现场备查。</w:t>
      </w:r>
    </w:p>
    <w:p w14:paraId="0F31955C">
      <w:pPr>
        <w:pStyle w:val="23"/>
        <w:ind w:firstLine="562"/>
        <w:rPr>
          <w:rFonts w:hint="eastAsia" w:ascii="宋体" w:hAnsi="宋体" w:eastAsia="宋体" w:cs="宋体"/>
          <w:b/>
          <w:sz w:val="32"/>
          <w:lang w:eastAsia="zh-CN"/>
        </w:rPr>
      </w:pPr>
      <w:r>
        <w:rPr>
          <w:rFonts w:hAnsi="宋体" w:cs="宋体"/>
          <w:sz w:val="28"/>
          <w:szCs w:val="28"/>
        </w:rPr>
        <w:br w:type="page"/>
      </w:r>
      <w:bookmarkEnd w:id="34"/>
      <w:bookmarkEnd w:id="35"/>
      <w:bookmarkEnd w:id="36"/>
      <w:bookmarkEnd w:id="37"/>
      <w:r>
        <w:rPr>
          <w:rFonts w:hint="eastAsia" w:ascii="宋体" w:hAnsi="宋体" w:eastAsia="宋体" w:cs="宋体"/>
          <w:b/>
          <w:sz w:val="32"/>
        </w:rPr>
        <w:t>示范格式</w:t>
      </w:r>
      <w:r>
        <w:rPr>
          <w:rFonts w:hint="eastAsia" w:ascii="宋体" w:hAnsi="宋体" w:eastAsia="宋体" w:cs="宋体"/>
          <w:b/>
          <w:sz w:val="32"/>
          <w:lang w:val="en-US" w:eastAsia="zh-CN"/>
        </w:rPr>
        <w:t>三</w:t>
      </w:r>
    </w:p>
    <w:p w14:paraId="3F2024B8">
      <w:pPr>
        <w:pStyle w:val="17"/>
        <w:adjustRightInd w:val="0"/>
        <w:spacing w:line="360" w:lineRule="auto"/>
        <w:ind w:firstLine="420"/>
        <w:jc w:val="center"/>
        <w:rPr>
          <w:rFonts w:hint="eastAsia" w:ascii="宋体" w:hAnsi="宋体" w:eastAsia="宋体" w:cs="宋体"/>
          <w:color w:val="000000"/>
          <w:sz w:val="44"/>
          <w:szCs w:val="44"/>
        </w:rPr>
      </w:pPr>
      <w:r>
        <w:rPr>
          <w:rFonts w:hint="eastAsia" w:ascii="宋体" w:hAnsi="宋体" w:eastAsia="宋体" w:cs="宋体"/>
          <w:color w:val="000000"/>
          <w:sz w:val="44"/>
          <w:szCs w:val="44"/>
        </w:rPr>
        <w:t>供应商信用承诺书</w:t>
      </w:r>
    </w:p>
    <w:p w14:paraId="2D046957">
      <w:pPr>
        <w:pStyle w:val="17"/>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为营造公平竞争、规范有序的政府采购营商环境，树立诚信守法经营者形象，本单位郑重作出如下承诺，如有违背，违诺信息记入信用档案并依法予以公示，依法赔偿采购单位因本单位违背承诺造成的经济损失。</w:t>
      </w:r>
    </w:p>
    <w:p w14:paraId="3EF54102">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我方本次政府采购活动中申报的所有资料都是真实、准确、有效，如发现提供虚假资料，或与事实不符而导致投标无效，甚至造成任何法律和经济责任，完全由我方负责。</w:t>
      </w:r>
    </w:p>
    <w:p w14:paraId="6CC1EB5D">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我方在本次政府采购活动中绝无资质挂靠、串标、围标、中标后违法转包等情形，如有违反，我方自动放弃中标（成交）资格并承担相应的法律责任和后果。</w:t>
      </w:r>
    </w:p>
    <w:p w14:paraId="3F6D5A85">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我方未被列入失信黑名单；无尚未修复的严重失信行为；在以往的政府采购活动中无重大违法、违规的不良记录，或虽有不良记录，但已超过处理期限。</w:t>
      </w:r>
    </w:p>
    <w:p w14:paraId="062965FF">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我方承诺中标（成交）后按规定的时间内领取中标（成交）确认书，按规定及时与采购单位签订合同。</w:t>
      </w:r>
    </w:p>
    <w:p w14:paraId="4476DE21">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我方严格按照采购公告、采购文件和响应文件承诺履行合同。</w:t>
      </w:r>
    </w:p>
    <w:p w14:paraId="40CE98E1">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我方自觉接受社会各界的监督，依法接受有关行政机关的事中事后监管和执法检查，并如实提供有关情况和材料。</w:t>
      </w:r>
    </w:p>
    <w:p w14:paraId="12180B30">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严格遵守国家法律、法规、规章和相关政策规定，积极参与社会信用体系建设，倡树以信笃行，以诚兴业的传统美德，争创信用企业。</w:t>
      </w:r>
    </w:p>
    <w:p w14:paraId="5D47CE8B">
      <w:pPr>
        <w:pStyle w:val="17"/>
        <w:keepNext w:val="0"/>
        <w:keepLines w:val="0"/>
        <w:pageBreakBefore w:val="0"/>
        <w:widowControl w:val="0"/>
        <w:numPr>
          <w:ilvl w:val="0"/>
          <w:numId w:val="6"/>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我方同意本《信用承诺书》记入信用档案。</w:t>
      </w:r>
    </w:p>
    <w:p w14:paraId="7F17D43D">
      <w:pPr>
        <w:pStyle w:val="17"/>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lang w:eastAsia="zh-CN"/>
        </w:rPr>
      </w:pPr>
    </w:p>
    <w:p w14:paraId="1FDF166A">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14:paraId="78D7AC87">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14:paraId="161E7C62">
      <w:pPr>
        <w:pStyle w:val="17"/>
        <w:keepNext w:val="0"/>
        <w:keepLines w:val="0"/>
        <w:pageBreakBefore w:val="0"/>
        <w:widowControl w:val="0"/>
        <w:kinsoku/>
        <w:wordWrap/>
        <w:overflowPunct/>
        <w:topLinePunct w:val="0"/>
        <w:bidi w:val="0"/>
        <w:adjustRightInd w:val="0"/>
        <w:snapToGrid/>
        <w:spacing w:line="440" w:lineRule="exact"/>
        <w:jc w:val="right"/>
        <w:textAlignment w:val="auto"/>
        <w:rPr>
          <w:rFonts w:hint="eastAsia" w:ascii="宋体" w:hAnsi="宋体" w:eastAsia="宋体" w:cs="宋体"/>
          <w:bCs/>
          <w:color w:val="000000"/>
          <w:sz w:val="24"/>
          <w:szCs w:val="24"/>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14:paraId="4311DFC8">
      <w:pPr>
        <w:pStyle w:val="17"/>
        <w:adjustRightInd w:val="0"/>
        <w:spacing w:line="360" w:lineRule="auto"/>
        <w:jc w:val="both"/>
        <w:rPr>
          <w:rFonts w:hint="eastAsia" w:ascii="宋体" w:hAnsi="宋体" w:eastAsia="宋体" w:cs="宋体"/>
          <w:bCs/>
          <w:color w:val="000000"/>
          <w:sz w:val="28"/>
          <w:szCs w:val="28"/>
        </w:rPr>
      </w:pPr>
    </w:p>
    <w:p w14:paraId="763472D9">
      <w:pPr>
        <w:pStyle w:val="17"/>
        <w:adjustRightInd w:val="0"/>
        <w:spacing w:line="360" w:lineRule="auto"/>
        <w:jc w:val="both"/>
        <w:rPr>
          <w:rFonts w:hint="eastAsia" w:ascii="宋体" w:hAnsi="宋体" w:eastAsia="宋体" w:cs="宋体"/>
          <w:bCs/>
          <w:color w:val="000000"/>
          <w:sz w:val="28"/>
          <w:szCs w:val="28"/>
        </w:rPr>
      </w:pPr>
    </w:p>
    <w:p w14:paraId="30388516">
      <w:pPr>
        <w:spacing w:line="480" w:lineRule="auto"/>
        <w:jc w:val="left"/>
        <w:rPr>
          <w:rFonts w:hint="eastAsia" w:ascii="宋体" w:hAnsi="宋体" w:eastAsia="宋体" w:cs="宋体"/>
          <w:b/>
          <w:sz w:val="32"/>
          <w:lang w:val="en-US" w:eastAsia="zh-CN"/>
        </w:rPr>
      </w:pPr>
      <w:r>
        <w:rPr>
          <w:rFonts w:hint="eastAsia" w:ascii="宋体" w:hAnsi="宋体" w:eastAsia="宋体" w:cs="宋体"/>
          <w:b/>
          <w:sz w:val="32"/>
        </w:rPr>
        <w:t>示范格式</w:t>
      </w:r>
      <w:r>
        <w:rPr>
          <w:rFonts w:hint="eastAsia" w:ascii="宋体" w:hAnsi="宋体" w:eastAsia="宋体" w:cs="宋体"/>
          <w:b/>
          <w:sz w:val="32"/>
          <w:lang w:val="en-US" w:eastAsia="zh-CN"/>
        </w:rPr>
        <w:t>四</w:t>
      </w:r>
    </w:p>
    <w:p w14:paraId="36602D40">
      <w:pPr>
        <w:spacing w:line="48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承诺书</w:t>
      </w:r>
    </w:p>
    <w:p w14:paraId="4DCE23C3">
      <w:pPr>
        <w:spacing w:line="520" w:lineRule="exact"/>
        <w:ind w:firstLine="140" w:firstLineChars="50"/>
        <w:jc w:val="left"/>
        <w:rPr>
          <w:rFonts w:hint="eastAsia" w:ascii="宋体" w:hAnsi="宋体" w:eastAsia="宋体" w:cs="宋体"/>
          <w:sz w:val="28"/>
          <w:szCs w:val="28"/>
        </w:rPr>
      </w:pPr>
      <w:r>
        <w:rPr>
          <w:rFonts w:hint="eastAsia" w:ascii="宋体" w:hAnsi="宋体" w:eastAsia="宋体" w:cs="宋体"/>
          <w:sz w:val="28"/>
          <w:szCs w:val="28"/>
          <w:u w:val="single"/>
        </w:rPr>
        <w:t>（采购人）</w:t>
      </w:r>
      <w:r>
        <w:rPr>
          <w:rFonts w:hint="eastAsia" w:ascii="宋体" w:hAnsi="宋体" w:eastAsia="宋体" w:cs="宋体"/>
          <w:sz w:val="28"/>
          <w:szCs w:val="28"/>
        </w:rPr>
        <w:t>：</w:t>
      </w:r>
    </w:p>
    <w:p w14:paraId="5D172904">
      <w:pPr>
        <w:spacing w:line="520" w:lineRule="exact"/>
        <w:rPr>
          <w:rFonts w:hint="eastAsia" w:ascii="宋体" w:hAnsi="宋体" w:eastAsia="宋体" w:cs="宋体"/>
          <w:sz w:val="28"/>
          <w:szCs w:val="28"/>
        </w:rPr>
      </w:pPr>
      <w:r>
        <w:rPr>
          <w:rFonts w:hint="eastAsia" w:ascii="宋体" w:hAnsi="宋体" w:eastAsia="宋体" w:cs="宋体"/>
          <w:sz w:val="28"/>
          <w:szCs w:val="28"/>
        </w:rPr>
        <w:t>我方在项目名称：（项目编号：）的采购过程中，做如下承诺：</w:t>
      </w:r>
    </w:p>
    <w:p w14:paraId="58C3FDC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一、我方具有独立承担民事责任的能力；</w:t>
      </w:r>
    </w:p>
    <w:p w14:paraId="37D3793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二、我方具有良好的商业信誉和健全的财务会计制度；</w:t>
      </w:r>
    </w:p>
    <w:p w14:paraId="0A2F2FA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三、我方具有履行合同所必须的设备和专业技术能力；</w:t>
      </w:r>
    </w:p>
    <w:p w14:paraId="39BEFDD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四、我方有依法缴纳税收和社会保障资金的良好记录；</w:t>
      </w:r>
    </w:p>
    <w:p w14:paraId="3B74A84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五、我方参加政府采购活动前3年内，在经营活动中没有重大违法记录（因违法经营受到刑事处罚或者责令停产停业、吊销许可证或者执照、较大数额罚款等行政处罚）；</w:t>
      </w:r>
    </w:p>
    <w:p w14:paraId="50177DC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六、我方与参加本次采购活动的其他单位不存在单位负责人为同一人的情况，也不存在控股、管理关系的情况；</w:t>
      </w:r>
    </w:p>
    <w:p w14:paraId="109B22D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七、我方没有为本采购项目提供整体设计、规范编制或者项目管理、监理、检测等服务；</w:t>
      </w:r>
    </w:p>
    <w:p w14:paraId="79474BB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八、我方未被法院裁定为失信被执行人；</w:t>
      </w:r>
    </w:p>
    <w:p w14:paraId="3FF3681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九、我方具有法律、行政法规规定的其他条件；</w:t>
      </w:r>
    </w:p>
    <w:p w14:paraId="5005061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十、我方保证上述信息的真实和准确，并愿意承担因我方就此弄虚作假所引起的一切法律后果，并自愿接受相关监管部门作出的任何处罚。</w:t>
      </w:r>
    </w:p>
    <w:p w14:paraId="48C23A2C">
      <w:pPr>
        <w:spacing w:line="520" w:lineRule="exact"/>
        <w:ind w:firstLine="560" w:firstLineChars="200"/>
        <w:rPr>
          <w:rFonts w:hint="eastAsia" w:ascii="宋体" w:hAnsi="宋体" w:eastAsia="宋体" w:cs="宋体"/>
          <w:sz w:val="28"/>
          <w:szCs w:val="28"/>
        </w:rPr>
      </w:pPr>
    </w:p>
    <w:p w14:paraId="052CC90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特此承诺！</w:t>
      </w:r>
    </w:p>
    <w:p w14:paraId="6F267DF1">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14:paraId="0A3919AF">
      <w:pPr>
        <w:pStyle w:val="17"/>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14:paraId="0912F278">
      <w:pPr>
        <w:spacing w:line="520" w:lineRule="exact"/>
        <w:ind w:firstLine="560" w:firstLineChars="200"/>
        <w:jc w:val="right"/>
        <w:rPr>
          <w:rFonts w:hint="eastAsia" w:ascii="宋体" w:hAnsi="宋体" w:eastAsia="宋体" w:cs="宋体"/>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14:paraId="152F6186">
      <w:pPr>
        <w:pStyle w:val="23"/>
        <w:ind w:left="562" w:hanging="562"/>
        <w:rPr>
          <w:rFonts w:hint="eastAsia" w:ascii="宋体" w:hAnsi="宋体" w:eastAsia="宋体" w:cs="宋体"/>
          <w:b/>
          <w:sz w:val="24"/>
          <w:szCs w:val="24"/>
        </w:rPr>
      </w:pPr>
    </w:p>
    <w:sectPr>
      <w:footerReference r:id="rId8" w:type="first"/>
      <w:headerReference r:id="rId6" w:type="default"/>
      <w:footerReference r:id="rId7"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78D5A">
    <w:pPr>
      <w:pStyle w:val="28"/>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7A0371C3">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770F2">
    <w:pPr>
      <w:pStyle w:val="28"/>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12</w:t>
    </w:r>
    <w:r>
      <w:rPr>
        <w:rStyle w:val="52"/>
      </w:rPr>
      <w:fldChar w:fldCharType="end"/>
    </w:r>
  </w:p>
  <w:p w14:paraId="0344D240">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DE961">
    <w:pPr>
      <w:pStyle w:val="28"/>
      <w:tabs>
        <w:tab w:val="center" w:pos="720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D641C8B">
                          <w:pPr>
                            <w:pStyle w:val="28"/>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&#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F6MVv0PAgAAEQQAAA4AAAAAAAAAAQAgAAAA&#10;HwEAAGRycy9lMm9Eb2MueG1sUEsFBgAAAAAGAAYAWQEAAKAFAAAAAA==&#10;">
              <v:fill on="f" focussize="0,0"/>
              <v:stroke on="f"/>
              <v:imagedata o:title=""/>
              <o:lock v:ext="edit" aspectratio="f"/>
              <v:textbox inset="0mm,0mm,0mm,0mm" style="mso-fit-shape-to-text:t;">
                <w:txbxContent>
                  <w:p w14:paraId="6D641C8B">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E85F9">
    <w:pPr>
      <w:pStyle w:val="28"/>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073A90EE">
                          <w:pPr>
                            <w:pStyle w:val="28"/>
                          </w:pPr>
                          <w:r>
                            <w:fldChar w:fldCharType="begin"/>
                          </w:r>
                          <w:r>
                            <w:instrText xml:space="preserve"> PAGE  \* MERGEFORMAT </w:instrText>
                          </w:r>
                          <w:r>
                            <w:fldChar w:fldCharType="separate"/>
                          </w:r>
                          <w:r>
                            <w:t>16</w:t>
                          </w:r>
                          <w:r>
                            <w:fldChar w:fldCharType="end"/>
                          </w:r>
                        </w:p>
                      </w:txbxContent>
                    </wps:txbx>
                    <wps:bodyPr rot="0" vert="horz" wrap="none" lIns="0" tIns="0" rIns="0" bIns="0" anchor="t" anchorCtr="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ql5uc8AAAAFAQAADwAAAAAAAAABACAAAAAiAAAAZHJzL2Rv&#10;d25yZXYueG1sUEsBAhQAFAAAAAgAh07iQLNR1RwKAgAAEwQAAA4AAAAAAAAAAQAgAAAAHgEAAGRy&#10;cy9lMm9Eb2MueG1sUEsFBgAAAAAGAAYAWQEAAJoFAAAAAA==&#10;">
              <v:fill on="f" focussize="0,0"/>
              <v:stroke on="f"/>
              <v:imagedata o:title=""/>
              <o:lock v:ext="edit" aspectratio="f"/>
              <v:textbox inset="0mm,0mm,0mm,0mm" style="mso-fit-shape-to-text:t;">
                <w:txbxContent>
                  <w:p w14:paraId="073A90EE">
                    <w:pPr>
                      <w:pStyle w:val="2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70BC">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F2D3">
    <w:pPr>
      <w:pStyle w:val="30"/>
      <w:pBdr>
        <w:bottom w:val="single" w:color="auto" w:sz="6"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1"/>
      <w:numFmt w:val="decimal"/>
      <w:pStyle w:val="178"/>
      <w:suff w:val="nothing"/>
      <w:lvlText w:val="%1、"/>
      <w:lvlJc w:val="left"/>
      <w:pPr>
        <w:ind w:left="0" w:firstLine="0"/>
      </w:pPr>
      <w:rPr>
        <w:rFonts w:hint="eastAsia"/>
      </w:rPr>
    </w:lvl>
  </w:abstractNum>
  <w:abstractNum w:abstractNumId="1">
    <w:nsid w:val="0000001F"/>
    <w:multiLevelType w:val="multilevel"/>
    <w:tmpl w:val="0000001F"/>
    <w:lvl w:ilvl="0" w:tentative="0">
      <w:start w:val="1"/>
      <w:numFmt w:val="japaneseCounting"/>
      <w:lvlText w:val="第%1篇"/>
      <w:lvlJc w:val="left"/>
      <w:pPr>
        <w:tabs>
          <w:tab w:val="left" w:pos="1200"/>
        </w:tabs>
        <w:ind w:left="1200" w:hanging="1200"/>
      </w:pPr>
      <w:rPr>
        <w:rFonts w:hint="default" w:cs="Times New Roman"/>
      </w:rPr>
    </w:lvl>
    <w:lvl w:ilvl="1" w:tentative="0">
      <w:start w:val="1"/>
      <w:numFmt w:val="lowerLetter"/>
      <w:pStyle w:val="84"/>
      <w:lvlText w:val="%2)"/>
      <w:lvlJc w:val="left"/>
      <w:pPr>
        <w:tabs>
          <w:tab w:val="left" w:pos="840"/>
        </w:tabs>
        <w:ind w:left="840" w:hanging="420"/>
      </w:pPr>
      <w:rPr>
        <w:rFonts w:cs="Times New Roman"/>
      </w:rPr>
    </w:lvl>
    <w:lvl w:ilvl="2" w:tentative="0">
      <w:start w:val="1"/>
      <w:numFmt w:val="lowerRoman"/>
      <w:pStyle w:val="85"/>
      <w:lvlText w:val="%3."/>
      <w:lvlJc w:val="right"/>
      <w:pPr>
        <w:tabs>
          <w:tab w:val="left" w:pos="1260"/>
        </w:tabs>
        <w:ind w:left="1260" w:hanging="420"/>
      </w:pPr>
      <w:rPr>
        <w:rFonts w:cs="Times New Roman"/>
      </w:rPr>
    </w:lvl>
    <w:lvl w:ilvl="3" w:tentative="0">
      <w:start w:val="1"/>
      <w:numFmt w:val="decimal"/>
      <w:pStyle w:val="111"/>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2504B1E1"/>
    <w:multiLevelType w:val="singleLevel"/>
    <w:tmpl w:val="2504B1E1"/>
    <w:lvl w:ilvl="0" w:tentative="0">
      <w:start w:val="1"/>
      <w:numFmt w:val="chineseCounting"/>
      <w:suff w:val="nothing"/>
      <w:lvlText w:val="%1、"/>
      <w:lvlJc w:val="left"/>
      <w:pPr>
        <w:ind w:left="37"/>
      </w:pPr>
      <w:rPr>
        <w:rFonts w:hint="eastAsia"/>
      </w:rPr>
    </w:lvl>
  </w:abstractNum>
  <w:abstractNum w:abstractNumId="3">
    <w:nsid w:val="49E5ACDF"/>
    <w:multiLevelType w:val="singleLevel"/>
    <w:tmpl w:val="49E5ACDF"/>
    <w:lvl w:ilvl="0" w:tentative="0">
      <w:start w:val="1"/>
      <w:numFmt w:val="chineseCounting"/>
      <w:suff w:val="space"/>
      <w:lvlText w:val="第%1篇"/>
      <w:lvlJc w:val="left"/>
      <w:pPr>
        <w:ind w:left="600" w:leftChars="0" w:firstLine="0" w:firstLineChars="0"/>
      </w:pPr>
      <w:rPr>
        <w:rFonts w:hint="eastAsia"/>
      </w:rPr>
    </w:lvl>
  </w:abstractNum>
  <w:abstractNum w:abstractNumId="4">
    <w:nsid w:val="5A32BD1C"/>
    <w:multiLevelType w:val="singleLevel"/>
    <w:tmpl w:val="5A32BD1C"/>
    <w:lvl w:ilvl="0" w:tentative="0">
      <w:start w:val="24"/>
      <w:numFmt w:val="decimal"/>
      <w:lvlText w:val="%1."/>
      <w:lvlJc w:val="left"/>
      <w:pPr>
        <w:tabs>
          <w:tab w:val="left" w:pos="312"/>
        </w:tabs>
        <w:ind w:left="645" w:leftChars="0" w:firstLine="0" w:firstLineChars="0"/>
      </w:pPr>
    </w:lvl>
  </w:abstractNum>
  <w:abstractNum w:abstractNumId="5">
    <w:nsid w:val="62D41F3C"/>
    <w:multiLevelType w:val="multilevel"/>
    <w:tmpl w:val="62D41F3C"/>
    <w:lvl w:ilvl="0" w:tentative="0">
      <w:start w:val="1"/>
      <w:numFmt w:val="japaneseCounting"/>
      <w:lvlText w:val="%1、"/>
      <w:lvlJc w:val="left"/>
      <w:pPr>
        <w:ind w:left="3933" w:hanging="720"/>
      </w:pPr>
      <w:rPr>
        <w:rFonts w:hint="default"/>
      </w:rPr>
    </w:lvl>
    <w:lvl w:ilvl="1" w:tentative="0">
      <w:start w:val="1"/>
      <w:numFmt w:val="lowerLetter"/>
      <w:lvlText w:val="%2)"/>
      <w:lvlJc w:val="left"/>
      <w:pPr>
        <w:ind w:left="4053" w:hanging="420"/>
      </w:pPr>
    </w:lvl>
    <w:lvl w:ilvl="2" w:tentative="0">
      <w:start w:val="1"/>
      <w:numFmt w:val="lowerRoman"/>
      <w:lvlText w:val="%3."/>
      <w:lvlJc w:val="right"/>
      <w:pPr>
        <w:ind w:left="4473" w:hanging="420"/>
      </w:pPr>
    </w:lvl>
    <w:lvl w:ilvl="3" w:tentative="0">
      <w:start w:val="1"/>
      <w:numFmt w:val="decimal"/>
      <w:lvlText w:val="%4."/>
      <w:lvlJc w:val="left"/>
      <w:pPr>
        <w:ind w:left="4893" w:hanging="420"/>
      </w:pPr>
    </w:lvl>
    <w:lvl w:ilvl="4" w:tentative="0">
      <w:start w:val="1"/>
      <w:numFmt w:val="lowerLetter"/>
      <w:lvlText w:val="%5)"/>
      <w:lvlJc w:val="left"/>
      <w:pPr>
        <w:ind w:left="5313" w:hanging="420"/>
      </w:pPr>
    </w:lvl>
    <w:lvl w:ilvl="5" w:tentative="0">
      <w:start w:val="1"/>
      <w:numFmt w:val="lowerRoman"/>
      <w:lvlText w:val="%6."/>
      <w:lvlJc w:val="right"/>
      <w:pPr>
        <w:ind w:left="5733" w:hanging="420"/>
      </w:pPr>
    </w:lvl>
    <w:lvl w:ilvl="6" w:tentative="0">
      <w:start w:val="1"/>
      <w:numFmt w:val="decimal"/>
      <w:lvlText w:val="%7."/>
      <w:lvlJc w:val="left"/>
      <w:pPr>
        <w:ind w:left="6153" w:hanging="420"/>
      </w:pPr>
    </w:lvl>
    <w:lvl w:ilvl="7" w:tentative="0">
      <w:start w:val="1"/>
      <w:numFmt w:val="lowerLetter"/>
      <w:lvlText w:val="%8)"/>
      <w:lvlJc w:val="left"/>
      <w:pPr>
        <w:ind w:left="6573" w:hanging="420"/>
      </w:pPr>
    </w:lvl>
    <w:lvl w:ilvl="8" w:tentative="0">
      <w:start w:val="1"/>
      <w:numFmt w:val="lowerRoman"/>
      <w:lvlText w:val="%9."/>
      <w:lvlJc w:val="right"/>
      <w:pPr>
        <w:ind w:left="6993" w:hanging="420"/>
      </w:p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hNWM4ODYwMjU2MTg1YjY5OTUxNTJiYmJhNjM1MTcifQ=="/>
  </w:docVars>
  <w:rsids>
    <w:rsidRoot w:val="0017087C"/>
    <w:rsid w:val="000019CE"/>
    <w:rsid w:val="0000787C"/>
    <w:rsid w:val="0001032E"/>
    <w:rsid w:val="00010E27"/>
    <w:rsid w:val="000138F0"/>
    <w:rsid w:val="0001588F"/>
    <w:rsid w:val="00015EEC"/>
    <w:rsid w:val="000241FD"/>
    <w:rsid w:val="00025317"/>
    <w:rsid w:val="00026F0C"/>
    <w:rsid w:val="00032725"/>
    <w:rsid w:val="00034A88"/>
    <w:rsid w:val="0003538C"/>
    <w:rsid w:val="000360A5"/>
    <w:rsid w:val="00036AC3"/>
    <w:rsid w:val="000370AC"/>
    <w:rsid w:val="00037877"/>
    <w:rsid w:val="00043453"/>
    <w:rsid w:val="000438AC"/>
    <w:rsid w:val="00044327"/>
    <w:rsid w:val="000449BD"/>
    <w:rsid w:val="00045B2E"/>
    <w:rsid w:val="00047B90"/>
    <w:rsid w:val="00047DC1"/>
    <w:rsid w:val="0005331F"/>
    <w:rsid w:val="00053327"/>
    <w:rsid w:val="00053D3B"/>
    <w:rsid w:val="0005472D"/>
    <w:rsid w:val="00056883"/>
    <w:rsid w:val="00056D26"/>
    <w:rsid w:val="00062116"/>
    <w:rsid w:val="00062F4B"/>
    <w:rsid w:val="00063247"/>
    <w:rsid w:val="00063E76"/>
    <w:rsid w:val="00064905"/>
    <w:rsid w:val="00066D10"/>
    <w:rsid w:val="00066E77"/>
    <w:rsid w:val="00073B6C"/>
    <w:rsid w:val="00074A04"/>
    <w:rsid w:val="00074C82"/>
    <w:rsid w:val="000826DA"/>
    <w:rsid w:val="00082B81"/>
    <w:rsid w:val="00083A07"/>
    <w:rsid w:val="00083A62"/>
    <w:rsid w:val="00084615"/>
    <w:rsid w:val="00090053"/>
    <w:rsid w:val="0009142A"/>
    <w:rsid w:val="000932BC"/>
    <w:rsid w:val="000942FF"/>
    <w:rsid w:val="00094569"/>
    <w:rsid w:val="00095182"/>
    <w:rsid w:val="0009777D"/>
    <w:rsid w:val="00097A80"/>
    <w:rsid w:val="00097BE0"/>
    <w:rsid w:val="000A4B27"/>
    <w:rsid w:val="000A4D01"/>
    <w:rsid w:val="000A6497"/>
    <w:rsid w:val="000A74E0"/>
    <w:rsid w:val="000B0625"/>
    <w:rsid w:val="000B1B72"/>
    <w:rsid w:val="000B2F9E"/>
    <w:rsid w:val="000B366A"/>
    <w:rsid w:val="000B3B01"/>
    <w:rsid w:val="000B7CE0"/>
    <w:rsid w:val="000C2D68"/>
    <w:rsid w:val="000C7F4B"/>
    <w:rsid w:val="000D0207"/>
    <w:rsid w:val="000D139D"/>
    <w:rsid w:val="000D2D7C"/>
    <w:rsid w:val="000D41B4"/>
    <w:rsid w:val="000D43C4"/>
    <w:rsid w:val="000D480F"/>
    <w:rsid w:val="000D4A10"/>
    <w:rsid w:val="000D5809"/>
    <w:rsid w:val="000D745E"/>
    <w:rsid w:val="000E0277"/>
    <w:rsid w:val="000E3A55"/>
    <w:rsid w:val="000E428D"/>
    <w:rsid w:val="000E4693"/>
    <w:rsid w:val="000E68F2"/>
    <w:rsid w:val="000E7877"/>
    <w:rsid w:val="000F09BD"/>
    <w:rsid w:val="000F20AD"/>
    <w:rsid w:val="000F23F8"/>
    <w:rsid w:val="000F3A3A"/>
    <w:rsid w:val="000F4371"/>
    <w:rsid w:val="000F61BB"/>
    <w:rsid w:val="000F7012"/>
    <w:rsid w:val="000F795F"/>
    <w:rsid w:val="001004F1"/>
    <w:rsid w:val="0010143D"/>
    <w:rsid w:val="001017D9"/>
    <w:rsid w:val="00101F8E"/>
    <w:rsid w:val="00104C2D"/>
    <w:rsid w:val="00106E21"/>
    <w:rsid w:val="00113E62"/>
    <w:rsid w:val="001149CD"/>
    <w:rsid w:val="00115FB9"/>
    <w:rsid w:val="0011607D"/>
    <w:rsid w:val="001172B6"/>
    <w:rsid w:val="0012220E"/>
    <w:rsid w:val="001250A6"/>
    <w:rsid w:val="00126DE9"/>
    <w:rsid w:val="001277A3"/>
    <w:rsid w:val="00127BD1"/>
    <w:rsid w:val="001301C2"/>
    <w:rsid w:val="00130745"/>
    <w:rsid w:val="00136CAB"/>
    <w:rsid w:val="00140E8D"/>
    <w:rsid w:val="00143B1E"/>
    <w:rsid w:val="00146321"/>
    <w:rsid w:val="00147A39"/>
    <w:rsid w:val="00147D90"/>
    <w:rsid w:val="00152221"/>
    <w:rsid w:val="00155B8E"/>
    <w:rsid w:val="00157CCA"/>
    <w:rsid w:val="00163093"/>
    <w:rsid w:val="0016374F"/>
    <w:rsid w:val="00164D1D"/>
    <w:rsid w:val="00167449"/>
    <w:rsid w:val="0017087C"/>
    <w:rsid w:val="00170AB5"/>
    <w:rsid w:val="0017108D"/>
    <w:rsid w:val="00172123"/>
    <w:rsid w:val="0017342B"/>
    <w:rsid w:val="00173B2C"/>
    <w:rsid w:val="00175601"/>
    <w:rsid w:val="00181144"/>
    <w:rsid w:val="001844F1"/>
    <w:rsid w:val="0018648C"/>
    <w:rsid w:val="00186ED1"/>
    <w:rsid w:val="00190B96"/>
    <w:rsid w:val="0019144C"/>
    <w:rsid w:val="00192748"/>
    <w:rsid w:val="0019331C"/>
    <w:rsid w:val="00194500"/>
    <w:rsid w:val="00194B21"/>
    <w:rsid w:val="001953BA"/>
    <w:rsid w:val="001956C0"/>
    <w:rsid w:val="001972E4"/>
    <w:rsid w:val="001A378B"/>
    <w:rsid w:val="001A4EDD"/>
    <w:rsid w:val="001B01B8"/>
    <w:rsid w:val="001B0FC0"/>
    <w:rsid w:val="001B1E2E"/>
    <w:rsid w:val="001C0A8C"/>
    <w:rsid w:val="001C461B"/>
    <w:rsid w:val="001C582D"/>
    <w:rsid w:val="001C7CA8"/>
    <w:rsid w:val="001D131D"/>
    <w:rsid w:val="001D2E02"/>
    <w:rsid w:val="001D2F7E"/>
    <w:rsid w:val="001D4C6E"/>
    <w:rsid w:val="001E0528"/>
    <w:rsid w:val="001E0D6E"/>
    <w:rsid w:val="001E2A77"/>
    <w:rsid w:val="001E2AF2"/>
    <w:rsid w:val="001E450A"/>
    <w:rsid w:val="001E55C0"/>
    <w:rsid w:val="001E5DDF"/>
    <w:rsid w:val="001E63A1"/>
    <w:rsid w:val="001F52E9"/>
    <w:rsid w:val="0020320F"/>
    <w:rsid w:val="00203B21"/>
    <w:rsid w:val="00207197"/>
    <w:rsid w:val="00212B3C"/>
    <w:rsid w:val="00212C26"/>
    <w:rsid w:val="00213A26"/>
    <w:rsid w:val="002143D4"/>
    <w:rsid w:val="002153EF"/>
    <w:rsid w:val="00217217"/>
    <w:rsid w:val="002177D1"/>
    <w:rsid w:val="0022124C"/>
    <w:rsid w:val="00221F25"/>
    <w:rsid w:val="00222489"/>
    <w:rsid w:val="00222540"/>
    <w:rsid w:val="00222AD0"/>
    <w:rsid w:val="00224CC4"/>
    <w:rsid w:val="0022577B"/>
    <w:rsid w:val="0022638B"/>
    <w:rsid w:val="00226514"/>
    <w:rsid w:val="0022759D"/>
    <w:rsid w:val="0023281A"/>
    <w:rsid w:val="00233519"/>
    <w:rsid w:val="002346EA"/>
    <w:rsid w:val="00234D88"/>
    <w:rsid w:val="00236E8A"/>
    <w:rsid w:val="0024242F"/>
    <w:rsid w:val="00242EAF"/>
    <w:rsid w:val="00243F2B"/>
    <w:rsid w:val="00247D4E"/>
    <w:rsid w:val="00250B59"/>
    <w:rsid w:val="00252EC9"/>
    <w:rsid w:val="00256ABE"/>
    <w:rsid w:val="0026085E"/>
    <w:rsid w:val="00261E10"/>
    <w:rsid w:val="00263EE3"/>
    <w:rsid w:val="002649D8"/>
    <w:rsid w:val="00264DF4"/>
    <w:rsid w:val="00265E8B"/>
    <w:rsid w:val="00266FBB"/>
    <w:rsid w:val="002700B0"/>
    <w:rsid w:val="00270629"/>
    <w:rsid w:val="00271B93"/>
    <w:rsid w:val="0027215D"/>
    <w:rsid w:val="002721F2"/>
    <w:rsid w:val="0027453C"/>
    <w:rsid w:val="002745B3"/>
    <w:rsid w:val="00274F69"/>
    <w:rsid w:val="00275545"/>
    <w:rsid w:val="00280065"/>
    <w:rsid w:val="00280897"/>
    <w:rsid w:val="00282709"/>
    <w:rsid w:val="00282A14"/>
    <w:rsid w:val="00282C7A"/>
    <w:rsid w:val="00284AB9"/>
    <w:rsid w:val="00286059"/>
    <w:rsid w:val="0028740C"/>
    <w:rsid w:val="0028788A"/>
    <w:rsid w:val="00291ABA"/>
    <w:rsid w:val="00292229"/>
    <w:rsid w:val="002945B8"/>
    <w:rsid w:val="002967D2"/>
    <w:rsid w:val="002A2231"/>
    <w:rsid w:val="002A3076"/>
    <w:rsid w:val="002A7BD7"/>
    <w:rsid w:val="002B1B68"/>
    <w:rsid w:val="002B2626"/>
    <w:rsid w:val="002B2EA7"/>
    <w:rsid w:val="002B32FC"/>
    <w:rsid w:val="002B6D92"/>
    <w:rsid w:val="002B6F61"/>
    <w:rsid w:val="002B724F"/>
    <w:rsid w:val="002B7847"/>
    <w:rsid w:val="002C4926"/>
    <w:rsid w:val="002C76D7"/>
    <w:rsid w:val="002D0300"/>
    <w:rsid w:val="002D2BA7"/>
    <w:rsid w:val="002D3370"/>
    <w:rsid w:val="002D441F"/>
    <w:rsid w:val="002D5F8D"/>
    <w:rsid w:val="002E0B7C"/>
    <w:rsid w:val="002E0C1F"/>
    <w:rsid w:val="002E10FE"/>
    <w:rsid w:val="002E17D2"/>
    <w:rsid w:val="002E2EE3"/>
    <w:rsid w:val="002E31B3"/>
    <w:rsid w:val="002E7337"/>
    <w:rsid w:val="002E7FED"/>
    <w:rsid w:val="002F63A5"/>
    <w:rsid w:val="0030080A"/>
    <w:rsid w:val="0030113C"/>
    <w:rsid w:val="00301460"/>
    <w:rsid w:val="00302E3F"/>
    <w:rsid w:val="00303C68"/>
    <w:rsid w:val="003061A6"/>
    <w:rsid w:val="00306262"/>
    <w:rsid w:val="00310AD7"/>
    <w:rsid w:val="00311CFB"/>
    <w:rsid w:val="00311EF4"/>
    <w:rsid w:val="00317A96"/>
    <w:rsid w:val="00317DF3"/>
    <w:rsid w:val="00320943"/>
    <w:rsid w:val="00321C17"/>
    <w:rsid w:val="00322FC4"/>
    <w:rsid w:val="0032320B"/>
    <w:rsid w:val="0032537B"/>
    <w:rsid w:val="003264E8"/>
    <w:rsid w:val="00327AAD"/>
    <w:rsid w:val="00330712"/>
    <w:rsid w:val="00331230"/>
    <w:rsid w:val="00331751"/>
    <w:rsid w:val="003321B4"/>
    <w:rsid w:val="00335C54"/>
    <w:rsid w:val="00337616"/>
    <w:rsid w:val="0033794E"/>
    <w:rsid w:val="0034005D"/>
    <w:rsid w:val="003401D0"/>
    <w:rsid w:val="003404B6"/>
    <w:rsid w:val="00340BF2"/>
    <w:rsid w:val="00340E05"/>
    <w:rsid w:val="00343F98"/>
    <w:rsid w:val="00344A74"/>
    <w:rsid w:val="00344EF1"/>
    <w:rsid w:val="0034755B"/>
    <w:rsid w:val="003503B2"/>
    <w:rsid w:val="00350540"/>
    <w:rsid w:val="00354409"/>
    <w:rsid w:val="00356D5E"/>
    <w:rsid w:val="00357B2B"/>
    <w:rsid w:val="003617D9"/>
    <w:rsid w:val="00362889"/>
    <w:rsid w:val="00362AB2"/>
    <w:rsid w:val="003641C8"/>
    <w:rsid w:val="00365268"/>
    <w:rsid w:val="003654D6"/>
    <w:rsid w:val="003656A2"/>
    <w:rsid w:val="00366991"/>
    <w:rsid w:val="003676B8"/>
    <w:rsid w:val="00367D0E"/>
    <w:rsid w:val="00367EC0"/>
    <w:rsid w:val="00372F5D"/>
    <w:rsid w:val="00373A4A"/>
    <w:rsid w:val="003770B1"/>
    <w:rsid w:val="00377231"/>
    <w:rsid w:val="003800F4"/>
    <w:rsid w:val="003817F6"/>
    <w:rsid w:val="00382578"/>
    <w:rsid w:val="00383401"/>
    <w:rsid w:val="00384110"/>
    <w:rsid w:val="003854CD"/>
    <w:rsid w:val="003868AE"/>
    <w:rsid w:val="0038747B"/>
    <w:rsid w:val="003902D0"/>
    <w:rsid w:val="00390E52"/>
    <w:rsid w:val="003922B4"/>
    <w:rsid w:val="00392B33"/>
    <w:rsid w:val="00392D03"/>
    <w:rsid w:val="00392EFB"/>
    <w:rsid w:val="00393BCA"/>
    <w:rsid w:val="003941D3"/>
    <w:rsid w:val="00394FCE"/>
    <w:rsid w:val="00395F18"/>
    <w:rsid w:val="003964F2"/>
    <w:rsid w:val="003A035C"/>
    <w:rsid w:val="003A1AF0"/>
    <w:rsid w:val="003A3370"/>
    <w:rsid w:val="003A573A"/>
    <w:rsid w:val="003A661B"/>
    <w:rsid w:val="003A734F"/>
    <w:rsid w:val="003A7AD4"/>
    <w:rsid w:val="003B0183"/>
    <w:rsid w:val="003B0D38"/>
    <w:rsid w:val="003B50AC"/>
    <w:rsid w:val="003B5521"/>
    <w:rsid w:val="003B594F"/>
    <w:rsid w:val="003B7DB8"/>
    <w:rsid w:val="003C036F"/>
    <w:rsid w:val="003C0A67"/>
    <w:rsid w:val="003C0CAC"/>
    <w:rsid w:val="003C2398"/>
    <w:rsid w:val="003C25A8"/>
    <w:rsid w:val="003C5406"/>
    <w:rsid w:val="003C6103"/>
    <w:rsid w:val="003D1FE2"/>
    <w:rsid w:val="003D2DDC"/>
    <w:rsid w:val="003D3500"/>
    <w:rsid w:val="003D639D"/>
    <w:rsid w:val="003E04EE"/>
    <w:rsid w:val="003E0D18"/>
    <w:rsid w:val="003E37D2"/>
    <w:rsid w:val="003E58F0"/>
    <w:rsid w:val="003E7011"/>
    <w:rsid w:val="003E7117"/>
    <w:rsid w:val="003F38E5"/>
    <w:rsid w:val="003F3D2D"/>
    <w:rsid w:val="003F4367"/>
    <w:rsid w:val="003F4398"/>
    <w:rsid w:val="003F49CB"/>
    <w:rsid w:val="003F57D8"/>
    <w:rsid w:val="0040101E"/>
    <w:rsid w:val="0040277E"/>
    <w:rsid w:val="00410851"/>
    <w:rsid w:val="004115CB"/>
    <w:rsid w:val="00414081"/>
    <w:rsid w:val="004165A5"/>
    <w:rsid w:val="00417CF9"/>
    <w:rsid w:val="004200EE"/>
    <w:rsid w:val="00420753"/>
    <w:rsid w:val="004211FF"/>
    <w:rsid w:val="00421822"/>
    <w:rsid w:val="00423478"/>
    <w:rsid w:val="00424E6A"/>
    <w:rsid w:val="00425CB0"/>
    <w:rsid w:val="00426052"/>
    <w:rsid w:val="0042699A"/>
    <w:rsid w:val="00430B9F"/>
    <w:rsid w:val="00433812"/>
    <w:rsid w:val="004361F8"/>
    <w:rsid w:val="0043759E"/>
    <w:rsid w:val="00437CEA"/>
    <w:rsid w:val="00442122"/>
    <w:rsid w:val="004430D2"/>
    <w:rsid w:val="00443E75"/>
    <w:rsid w:val="00446CF0"/>
    <w:rsid w:val="0044705E"/>
    <w:rsid w:val="004475FB"/>
    <w:rsid w:val="0045019E"/>
    <w:rsid w:val="00451423"/>
    <w:rsid w:val="00460A79"/>
    <w:rsid w:val="00460B22"/>
    <w:rsid w:val="00461111"/>
    <w:rsid w:val="00463AAC"/>
    <w:rsid w:val="004647E4"/>
    <w:rsid w:val="00464D9F"/>
    <w:rsid w:val="0046547F"/>
    <w:rsid w:val="00465960"/>
    <w:rsid w:val="00470603"/>
    <w:rsid w:val="00470FF0"/>
    <w:rsid w:val="00473313"/>
    <w:rsid w:val="00480C49"/>
    <w:rsid w:val="004811F8"/>
    <w:rsid w:val="004819E7"/>
    <w:rsid w:val="004862B7"/>
    <w:rsid w:val="0048681D"/>
    <w:rsid w:val="00490416"/>
    <w:rsid w:val="00490ECE"/>
    <w:rsid w:val="004920F2"/>
    <w:rsid w:val="004922E2"/>
    <w:rsid w:val="004928EF"/>
    <w:rsid w:val="00493485"/>
    <w:rsid w:val="00495239"/>
    <w:rsid w:val="00495C5A"/>
    <w:rsid w:val="00495CAB"/>
    <w:rsid w:val="00495D94"/>
    <w:rsid w:val="004A0D30"/>
    <w:rsid w:val="004A0D75"/>
    <w:rsid w:val="004A12D7"/>
    <w:rsid w:val="004A23FC"/>
    <w:rsid w:val="004A2C4C"/>
    <w:rsid w:val="004A3728"/>
    <w:rsid w:val="004A669D"/>
    <w:rsid w:val="004A7592"/>
    <w:rsid w:val="004A7719"/>
    <w:rsid w:val="004B103F"/>
    <w:rsid w:val="004B1CDF"/>
    <w:rsid w:val="004B1F22"/>
    <w:rsid w:val="004B54DF"/>
    <w:rsid w:val="004C0404"/>
    <w:rsid w:val="004C0B3C"/>
    <w:rsid w:val="004C19F6"/>
    <w:rsid w:val="004C25F4"/>
    <w:rsid w:val="004D2382"/>
    <w:rsid w:val="004D2855"/>
    <w:rsid w:val="004D6237"/>
    <w:rsid w:val="004E010E"/>
    <w:rsid w:val="004E0A92"/>
    <w:rsid w:val="004E2978"/>
    <w:rsid w:val="004E450A"/>
    <w:rsid w:val="004E5456"/>
    <w:rsid w:val="004E7732"/>
    <w:rsid w:val="004E78D0"/>
    <w:rsid w:val="004F092D"/>
    <w:rsid w:val="004F3CA5"/>
    <w:rsid w:val="004F57A3"/>
    <w:rsid w:val="004F6BE5"/>
    <w:rsid w:val="004F77D7"/>
    <w:rsid w:val="005021D2"/>
    <w:rsid w:val="00504723"/>
    <w:rsid w:val="005049BC"/>
    <w:rsid w:val="00507816"/>
    <w:rsid w:val="00507907"/>
    <w:rsid w:val="00510A3F"/>
    <w:rsid w:val="00510CAB"/>
    <w:rsid w:val="00512087"/>
    <w:rsid w:val="005145BD"/>
    <w:rsid w:val="00514897"/>
    <w:rsid w:val="0051685F"/>
    <w:rsid w:val="00520574"/>
    <w:rsid w:val="00522596"/>
    <w:rsid w:val="005229E7"/>
    <w:rsid w:val="00522F4E"/>
    <w:rsid w:val="00524A7F"/>
    <w:rsid w:val="005300C3"/>
    <w:rsid w:val="00531E71"/>
    <w:rsid w:val="005340DB"/>
    <w:rsid w:val="005345BB"/>
    <w:rsid w:val="0053474F"/>
    <w:rsid w:val="00537008"/>
    <w:rsid w:val="005408EE"/>
    <w:rsid w:val="005413BD"/>
    <w:rsid w:val="00542508"/>
    <w:rsid w:val="00542B2E"/>
    <w:rsid w:val="00543C2A"/>
    <w:rsid w:val="005448AC"/>
    <w:rsid w:val="00546309"/>
    <w:rsid w:val="00547A20"/>
    <w:rsid w:val="00551061"/>
    <w:rsid w:val="0055189E"/>
    <w:rsid w:val="00551BFD"/>
    <w:rsid w:val="00551CC6"/>
    <w:rsid w:val="00552D8E"/>
    <w:rsid w:val="0055496C"/>
    <w:rsid w:val="00554D74"/>
    <w:rsid w:val="00554F66"/>
    <w:rsid w:val="005603DA"/>
    <w:rsid w:val="00561AF9"/>
    <w:rsid w:val="00561C12"/>
    <w:rsid w:val="00562F81"/>
    <w:rsid w:val="00564649"/>
    <w:rsid w:val="005648B7"/>
    <w:rsid w:val="00565830"/>
    <w:rsid w:val="005663B7"/>
    <w:rsid w:val="005702EA"/>
    <w:rsid w:val="00571538"/>
    <w:rsid w:val="00573A34"/>
    <w:rsid w:val="00574F7E"/>
    <w:rsid w:val="005811A2"/>
    <w:rsid w:val="005820CC"/>
    <w:rsid w:val="00582F06"/>
    <w:rsid w:val="0058456F"/>
    <w:rsid w:val="00586B34"/>
    <w:rsid w:val="005873B9"/>
    <w:rsid w:val="00587747"/>
    <w:rsid w:val="00587773"/>
    <w:rsid w:val="00590961"/>
    <w:rsid w:val="00591AFA"/>
    <w:rsid w:val="00591C36"/>
    <w:rsid w:val="00591CC0"/>
    <w:rsid w:val="00591D85"/>
    <w:rsid w:val="0059490A"/>
    <w:rsid w:val="00595A77"/>
    <w:rsid w:val="00596DB8"/>
    <w:rsid w:val="005979A1"/>
    <w:rsid w:val="005A0D9A"/>
    <w:rsid w:val="005A5C8B"/>
    <w:rsid w:val="005A6A2D"/>
    <w:rsid w:val="005B1F73"/>
    <w:rsid w:val="005B35E2"/>
    <w:rsid w:val="005B4ACC"/>
    <w:rsid w:val="005B6817"/>
    <w:rsid w:val="005C18E3"/>
    <w:rsid w:val="005C1CED"/>
    <w:rsid w:val="005C1D90"/>
    <w:rsid w:val="005C2623"/>
    <w:rsid w:val="005C4281"/>
    <w:rsid w:val="005C4410"/>
    <w:rsid w:val="005C54D2"/>
    <w:rsid w:val="005C5BDB"/>
    <w:rsid w:val="005D054D"/>
    <w:rsid w:val="005D1154"/>
    <w:rsid w:val="005D11AB"/>
    <w:rsid w:val="005D251A"/>
    <w:rsid w:val="005D3251"/>
    <w:rsid w:val="005D4D81"/>
    <w:rsid w:val="005D4E76"/>
    <w:rsid w:val="005D7678"/>
    <w:rsid w:val="005E21FB"/>
    <w:rsid w:val="005E2694"/>
    <w:rsid w:val="005E2F1F"/>
    <w:rsid w:val="005E5607"/>
    <w:rsid w:val="005E5A74"/>
    <w:rsid w:val="005E7947"/>
    <w:rsid w:val="005F0D6E"/>
    <w:rsid w:val="005F35D9"/>
    <w:rsid w:val="005F364C"/>
    <w:rsid w:val="005F4776"/>
    <w:rsid w:val="005F4F43"/>
    <w:rsid w:val="005F55DC"/>
    <w:rsid w:val="005F5B85"/>
    <w:rsid w:val="005F7D7A"/>
    <w:rsid w:val="005F7EB5"/>
    <w:rsid w:val="0060132E"/>
    <w:rsid w:val="006025FB"/>
    <w:rsid w:val="006026B7"/>
    <w:rsid w:val="00603C00"/>
    <w:rsid w:val="00604AEA"/>
    <w:rsid w:val="006108FF"/>
    <w:rsid w:val="00611D41"/>
    <w:rsid w:val="00612057"/>
    <w:rsid w:val="00613F39"/>
    <w:rsid w:val="0061754C"/>
    <w:rsid w:val="006176A2"/>
    <w:rsid w:val="00620A2F"/>
    <w:rsid w:val="006226A7"/>
    <w:rsid w:val="006226F2"/>
    <w:rsid w:val="00622DE1"/>
    <w:rsid w:val="00625981"/>
    <w:rsid w:val="006279D3"/>
    <w:rsid w:val="00630776"/>
    <w:rsid w:val="006323D9"/>
    <w:rsid w:val="00632DB7"/>
    <w:rsid w:val="00633407"/>
    <w:rsid w:val="00633DAE"/>
    <w:rsid w:val="00634B89"/>
    <w:rsid w:val="00634E2D"/>
    <w:rsid w:val="00635555"/>
    <w:rsid w:val="00636B46"/>
    <w:rsid w:val="006371F4"/>
    <w:rsid w:val="00637480"/>
    <w:rsid w:val="00637C9B"/>
    <w:rsid w:val="00637CF1"/>
    <w:rsid w:val="00640B33"/>
    <w:rsid w:val="00643A4C"/>
    <w:rsid w:val="00644066"/>
    <w:rsid w:val="00644419"/>
    <w:rsid w:val="006455B8"/>
    <w:rsid w:val="00645A7A"/>
    <w:rsid w:val="00645FC2"/>
    <w:rsid w:val="00646144"/>
    <w:rsid w:val="0064693E"/>
    <w:rsid w:val="00647A31"/>
    <w:rsid w:val="00652CC4"/>
    <w:rsid w:val="006544F8"/>
    <w:rsid w:val="00656F3D"/>
    <w:rsid w:val="00663B7E"/>
    <w:rsid w:val="00664AA4"/>
    <w:rsid w:val="00664EFF"/>
    <w:rsid w:val="00667C30"/>
    <w:rsid w:val="006755AB"/>
    <w:rsid w:val="00676890"/>
    <w:rsid w:val="00677EB5"/>
    <w:rsid w:val="00680806"/>
    <w:rsid w:val="00680E03"/>
    <w:rsid w:val="00682D89"/>
    <w:rsid w:val="00683D4C"/>
    <w:rsid w:val="00684088"/>
    <w:rsid w:val="006855CB"/>
    <w:rsid w:val="006863A0"/>
    <w:rsid w:val="0068678A"/>
    <w:rsid w:val="00686FC8"/>
    <w:rsid w:val="00687602"/>
    <w:rsid w:val="00692025"/>
    <w:rsid w:val="00692ACC"/>
    <w:rsid w:val="00694525"/>
    <w:rsid w:val="00694D56"/>
    <w:rsid w:val="006A01E2"/>
    <w:rsid w:val="006A2119"/>
    <w:rsid w:val="006A2DB9"/>
    <w:rsid w:val="006A3BA2"/>
    <w:rsid w:val="006A4C00"/>
    <w:rsid w:val="006A5260"/>
    <w:rsid w:val="006A56A8"/>
    <w:rsid w:val="006A666D"/>
    <w:rsid w:val="006A6F4D"/>
    <w:rsid w:val="006B0AEE"/>
    <w:rsid w:val="006B27AB"/>
    <w:rsid w:val="006B46A6"/>
    <w:rsid w:val="006B4B7C"/>
    <w:rsid w:val="006B581A"/>
    <w:rsid w:val="006B6197"/>
    <w:rsid w:val="006B6DA4"/>
    <w:rsid w:val="006C04A5"/>
    <w:rsid w:val="006C1C7A"/>
    <w:rsid w:val="006C497B"/>
    <w:rsid w:val="006C53C0"/>
    <w:rsid w:val="006C5E7D"/>
    <w:rsid w:val="006C7765"/>
    <w:rsid w:val="006D2B11"/>
    <w:rsid w:val="006D334A"/>
    <w:rsid w:val="006D42EB"/>
    <w:rsid w:val="006D50DA"/>
    <w:rsid w:val="006D52BB"/>
    <w:rsid w:val="006D5655"/>
    <w:rsid w:val="006D6841"/>
    <w:rsid w:val="006D764E"/>
    <w:rsid w:val="006D7663"/>
    <w:rsid w:val="006E1AC6"/>
    <w:rsid w:val="006E2179"/>
    <w:rsid w:val="006E3911"/>
    <w:rsid w:val="006E771A"/>
    <w:rsid w:val="006E7EBC"/>
    <w:rsid w:val="006F0477"/>
    <w:rsid w:val="006F22CD"/>
    <w:rsid w:val="006F3C9D"/>
    <w:rsid w:val="006F4D53"/>
    <w:rsid w:val="006F773E"/>
    <w:rsid w:val="00700C2B"/>
    <w:rsid w:val="00701B16"/>
    <w:rsid w:val="007029FF"/>
    <w:rsid w:val="00702D68"/>
    <w:rsid w:val="00705487"/>
    <w:rsid w:val="007058C8"/>
    <w:rsid w:val="00706135"/>
    <w:rsid w:val="007076FA"/>
    <w:rsid w:val="00707977"/>
    <w:rsid w:val="00710A60"/>
    <w:rsid w:val="007116A9"/>
    <w:rsid w:val="00711A16"/>
    <w:rsid w:val="007121A4"/>
    <w:rsid w:val="0071578E"/>
    <w:rsid w:val="00716910"/>
    <w:rsid w:val="00720517"/>
    <w:rsid w:val="007209F7"/>
    <w:rsid w:val="00720B9D"/>
    <w:rsid w:val="00720E88"/>
    <w:rsid w:val="00721AAC"/>
    <w:rsid w:val="00721CBB"/>
    <w:rsid w:val="00723FD5"/>
    <w:rsid w:val="007242F1"/>
    <w:rsid w:val="007254B9"/>
    <w:rsid w:val="007260FE"/>
    <w:rsid w:val="00726403"/>
    <w:rsid w:val="0073089D"/>
    <w:rsid w:val="00731903"/>
    <w:rsid w:val="00731AEE"/>
    <w:rsid w:val="00731BD3"/>
    <w:rsid w:val="00734626"/>
    <w:rsid w:val="00734813"/>
    <w:rsid w:val="007353D4"/>
    <w:rsid w:val="00737394"/>
    <w:rsid w:val="0073757C"/>
    <w:rsid w:val="00740611"/>
    <w:rsid w:val="00740A4F"/>
    <w:rsid w:val="00740A5C"/>
    <w:rsid w:val="00741065"/>
    <w:rsid w:val="007421B5"/>
    <w:rsid w:val="007444D2"/>
    <w:rsid w:val="00745583"/>
    <w:rsid w:val="00746613"/>
    <w:rsid w:val="00747814"/>
    <w:rsid w:val="00751CEB"/>
    <w:rsid w:val="00752E8D"/>
    <w:rsid w:val="00753759"/>
    <w:rsid w:val="007542DA"/>
    <w:rsid w:val="007547AE"/>
    <w:rsid w:val="00756E9C"/>
    <w:rsid w:val="007605A6"/>
    <w:rsid w:val="007611B9"/>
    <w:rsid w:val="007619C5"/>
    <w:rsid w:val="00764B69"/>
    <w:rsid w:val="007673C5"/>
    <w:rsid w:val="0076796F"/>
    <w:rsid w:val="007702C7"/>
    <w:rsid w:val="00771DB8"/>
    <w:rsid w:val="007724E4"/>
    <w:rsid w:val="007728D1"/>
    <w:rsid w:val="00772BDC"/>
    <w:rsid w:val="0077477E"/>
    <w:rsid w:val="00776411"/>
    <w:rsid w:val="0077674C"/>
    <w:rsid w:val="00781268"/>
    <w:rsid w:val="00781686"/>
    <w:rsid w:val="00781E5F"/>
    <w:rsid w:val="00782BEC"/>
    <w:rsid w:val="00782E7A"/>
    <w:rsid w:val="00784A8E"/>
    <w:rsid w:val="00784D2D"/>
    <w:rsid w:val="0079119E"/>
    <w:rsid w:val="00792B64"/>
    <w:rsid w:val="00795078"/>
    <w:rsid w:val="00795991"/>
    <w:rsid w:val="007973FD"/>
    <w:rsid w:val="00797E1F"/>
    <w:rsid w:val="007A08FC"/>
    <w:rsid w:val="007A0C4A"/>
    <w:rsid w:val="007A0FD1"/>
    <w:rsid w:val="007A192D"/>
    <w:rsid w:val="007A20B0"/>
    <w:rsid w:val="007A26FC"/>
    <w:rsid w:val="007A2F29"/>
    <w:rsid w:val="007A4A5E"/>
    <w:rsid w:val="007A5FED"/>
    <w:rsid w:val="007A62CC"/>
    <w:rsid w:val="007B01D6"/>
    <w:rsid w:val="007B0DC1"/>
    <w:rsid w:val="007B2840"/>
    <w:rsid w:val="007B40CD"/>
    <w:rsid w:val="007B4461"/>
    <w:rsid w:val="007B46F9"/>
    <w:rsid w:val="007B6CBC"/>
    <w:rsid w:val="007B7300"/>
    <w:rsid w:val="007B7C59"/>
    <w:rsid w:val="007C02B1"/>
    <w:rsid w:val="007C2867"/>
    <w:rsid w:val="007C674E"/>
    <w:rsid w:val="007C7305"/>
    <w:rsid w:val="007D0F5B"/>
    <w:rsid w:val="007D2867"/>
    <w:rsid w:val="007D3DCD"/>
    <w:rsid w:val="007D4317"/>
    <w:rsid w:val="007D6676"/>
    <w:rsid w:val="007D7839"/>
    <w:rsid w:val="007E02C5"/>
    <w:rsid w:val="007E0F05"/>
    <w:rsid w:val="007E1E6C"/>
    <w:rsid w:val="007E232B"/>
    <w:rsid w:val="007E2F14"/>
    <w:rsid w:val="007E4AD7"/>
    <w:rsid w:val="007E5E12"/>
    <w:rsid w:val="007E5E35"/>
    <w:rsid w:val="007E643B"/>
    <w:rsid w:val="007F032B"/>
    <w:rsid w:val="007F1089"/>
    <w:rsid w:val="007F1926"/>
    <w:rsid w:val="007F46A8"/>
    <w:rsid w:val="007F6233"/>
    <w:rsid w:val="00800298"/>
    <w:rsid w:val="00801D7C"/>
    <w:rsid w:val="00801E74"/>
    <w:rsid w:val="00803A1F"/>
    <w:rsid w:val="00804C6C"/>
    <w:rsid w:val="00810C8C"/>
    <w:rsid w:val="00815259"/>
    <w:rsid w:val="00815981"/>
    <w:rsid w:val="008209FA"/>
    <w:rsid w:val="00820E5C"/>
    <w:rsid w:val="00822624"/>
    <w:rsid w:val="00822CD8"/>
    <w:rsid w:val="0082338E"/>
    <w:rsid w:val="008244C3"/>
    <w:rsid w:val="0083061F"/>
    <w:rsid w:val="00830A0D"/>
    <w:rsid w:val="00832BAA"/>
    <w:rsid w:val="00833994"/>
    <w:rsid w:val="00837D1F"/>
    <w:rsid w:val="008459A7"/>
    <w:rsid w:val="008525C7"/>
    <w:rsid w:val="008530A7"/>
    <w:rsid w:val="008538C0"/>
    <w:rsid w:val="008541CB"/>
    <w:rsid w:val="008556CF"/>
    <w:rsid w:val="00857A5E"/>
    <w:rsid w:val="00863AE6"/>
    <w:rsid w:val="00865454"/>
    <w:rsid w:val="00867297"/>
    <w:rsid w:val="00867C08"/>
    <w:rsid w:val="008710D0"/>
    <w:rsid w:val="00872262"/>
    <w:rsid w:val="0087265E"/>
    <w:rsid w:val="00872D6B"/>
    <w:rsid w:val="0087312C"/>
    <w:rsid w:val="008737A2"/>
    <w:rsid w:val="00873A14"/>
    <w:rsid w:val="00874C62"/>
    <w:rsid w:val="00882810"/>
    <w:rsid w:val="008839D5"/>
    <w:rsid w:val="0088514D"/>
    <w:rsid w:val="008859AA"/>
    <w:rsid w:val="00887A20"/>
    <w:rsid w:val="00890B69"/>
    <w:rsid w:val="008945C0"/>
    <w:rsid w:val="008A0D3F"/>
    <w:rsid w:val="008A5397"/>
    <w:rsid w:val="008B03BD"/>
    <w:rsid w:val="008B050E"/>
    <w:rsid w:val="008B20DD"/>
    <w:rsid w:val="008B2506"/>
    <w:rsid w:val="008B464A"/>
    <w:rsid w:val="008B6F6C"/>
    <w:rsid w:val="008B730B"/>
    <w:rsid w:val="008B733E"/>
    <w:rsid w:val="008B7746"/>
    <w:rsid w:val="008C1913"/>
    <w:rsid w:val="008C6307"/>
    <w:rsid w:val="008C6E44"/>
    <w:rsid w:val="008C7414"/>
    <w:rsid w:val="008D0685"/>
    <w:rsid w:val="008D0AF2"/>
    <w:rsid w:val="008D1886"/>
    <w:rsid w:val="008D4375"/>
    <w:rsid w:val="008D54E0"/>
    <w:rsid w:val="008D6812"/>
    <w:rsid w:val="008E0662"/>
    <w:rsid w:val="008E1862"/>
    <w:rsid w:val="008E187D"/>
    <w:rsid w:val="008E197B"/>
    <w:rsid w:val="008E2AD5"/>
    <w:rsid w:val="008E7679"/>
    <w:rsid w:val="008F0DA9"/>
    <w:rsid w:val="008F3020"/>
    <w:rsid w:val="008F5505"/>
    <w:rsid w:val="00900891"/>
    <w:rsid w:val="0090649B"/>
    <w:rsid w:val="00907673"/>
    <w:rsid w:val="00907D14"/>
    <w:rsid w:val="00911B9E"/>
    <w:rsid w:val="00914222"/>
    <w:rsid w:val="009146E1"/>
    <w:rsid w:val="00916D86"/>
    <w:rsid w:val="0091733B"/>
    <w:rsid w:val="0092695A"/>
    <w:rsid w:val="00926D3B"/>
    <w:rsid w:val="00932BB3"/>
    <w:rsid w:val="0093487F"/>
    <w:rsid w:val="009359E6"/>
    <w:rsid w:val="009414A3"/>
    <w:rsid w:val="00943EAE"/>
    <w:rsid w:val="00944A0B"/>
    <w:rsid w:val="009463CA"/>
    <w:rsid w:val="009466AD"/>
    <w:rsid w:val="009469C7"/>
    <w:rsid w:val="00946F23"/>
    <w:rsid w:val="00947A4F"/>
    <w:rsid w:val="009508D0"/>
    <w:rsid w:val="00952ABB"/>
    <w:rsid w:val="00953835"/>
    <w:rsid w:val="00953A28"/>
    <w:rsid w:val="009554DF"/>
    <w:rsid w:val="00957773"/>
    <w:rsid w:val="00957EEC"/>
    <w:rsid w:val="0096114C"/>
    <w:rsid w:val="009613DE"/>
    <w:rsid w:val="009640BE"/>
    <w:rsid w:val="00964EA5"/>
    <w:rsid w:val="009671CB"/>
    <w:rsid w:val="00970AA7"/>
    <w:rsid w:val="00971337"/>
    <w:rsid w:val="009714ED"/>
    <w:rsid w:val="00975F30"/>
    <w:rsid w:val="00976F7F"/>
    <w:rsid w:val="00987D1C"/>
    <w:rsid w:val="00992EB4"/>
    <w:rsid w:val="00993B4B"/>
    <w:rsid w:val="0099504A"/>
    <w:rsid w:val="00995FA5"/>
    <w:rsid w:val="009978E7"/>
    <w:rsid w:val="00997A5C"/>
    <w:rsid w:val="009A2E86"/>
    <w:rsid w:val="009A3744"/>
    <w:rsid w:val="009A6439"/>
    <w:rsid w:val="009A64FA"/>
    <w:rsid w:val="009A7E44"/>
    <w:rsid w:val="009A7F32"/>
    <w:rsid w:val="009B3B3A"/>
    <w:rsid w:val="009B44C9"/>
    <w:rsid w:val="009B6110"/>
    <w:rsid w:val="009B725C"/>
    <w:rsid w:val="009C20CE"/>
    <w:rsid w:val="009C20EE"/>
    <w:rsid w:val="009C3E20"/>
    <w:rsid w:val="009C4D82"/>
    <w:rsid w:val="009C4FB2"/>
    <w:rsid w:val="009D3552"/>
    <w:rsid w:val="009D38FC"/>
    <w:rsid w:val="009D3DA7"/>
    <w:rsid w:val="009D4365"/>
    <w:rsid w:val="009D4DD2"/>
    <w:rsid w:val="009D510B"/>
    <w:rsid w:val="009D543C"/>
    <w:rsid w:val="009D6745"/>
    <w:rsid w:val="009D7E41"/>
    <w:rsid w:val="009E003C"/>
    <w:rsid w:val="009E1D88"/>
    <w:rsid w:val="009E463A"/>
    <w:rsid w:val="009E6463"/>
    <w:rsid w:val="009E6F6D"/>
    <w:rsid w:val="009F0A7A"/>
    <w:rsid w:val="009F209B"/>
    <w:rsid w:val="009F242F"/>
    <w:rsid w:val="009F28D8"/>
    <w:rsid w:val="009F2F51"/>
    <w:rsid w:val="009F55A9"/>
    <w:rsid w:val="009F7407"/>
    <w:rsid w:val="009F74D2"/>
    <w:rsid w:val="00A02C25"/>
    <w:rsid w:val="00A0305D"/>
    <w:rsid w:val="00A052D4"/>
    <w:rsid w:val="00A05747"/>
    <w:rsid w:val="00A069BF"/>
    <w:rsid w:val="00A06BF6"/>
    <w:rsid w:val="00A0701E"/>
    <w:rsid w:val="00A12D13"/>
    <w:rsid w:val="00A15EFC"/>
    <w:rsid w:val="00A2038D"/>
    <w:rsid w:val="00A21441"/>
    <w:rsid w:val="00A25A00"/>
    <w:rsid w:val="00A2627A"/>
    <w:rsid w:val="00A263EE"/>
    <w:rsid w:val="00A305C6"/>
    <w:rsid w:val="00A30B94"/>
    <w:rsid w:val="00A31718"/>
    <w:rsid w:val="00A32065"/>
    <w:rsid w:val="00A32525"/>
    <w:rsid w:val="00A341A4"/>
    <w:rsid w:val="00A36876"/>
    <w:rsid w:val="00A36C4D"/>
    <w:rsid w:val="00A40DDF"/>
    <w:rsid w:val="00A4193B"/>
    <w:rsid w:val="00A427A8"/>
    <w:rsid w:val="00A42EEF"/>
    <w:rsid w:val="00A46E80"/>
    <w:rsid w:val="00A46EC7"/>
    <w:rsid w:val="00A478C9"/>
    <w:rsid w:val="00A47AEB"/>
    <w:rsid w:val="00A47E2D"/>
    <w:rsid w:val="00A50155"/>
    <w:rsid w:val="00A50A78"/>
    <w:rsid w:val="00A51CF5"/>
    <w:rsid w:val="00A54CFC"/>
    <w:rsid w:val="00A555E1"/>
    <w:rsid w:val="00A564DB"/>
    <w:rsid w:val="00A6169C"/>
    <w:rsid w:val="00A61A0D"/>
    <w:rsid w:val="00A64B1D"/>
    <w:rsid w:val="00A64FCA"/>
    <w:rsid w:val="00A67105"/>
    <w:rsid w:val="00A70849"/>
    <w:rsid w:val="00A71276"/>
    <w:rsid w:val="00A726A7"/>
    <w:rsid w:val="00A746A6"/>
    <w:rsid w:val="00A7582F"/>
    <w:rsid w:val="00A76B07"/>
    <w:rsid w:val="00A775AE"/>
    <w:rsid w:val="00A85AD5"/>
    <w:rsid w:val="00A86B36"/>
    <w:rsid w:val="00A903A6"/>
    <w:rsid w:val="00A91502"/>
    <w:rsid w:val="00A96319"/>
    <w:rsid w:val="00AA12F8"/>
    <w:rsid w:val="00AA2315"/>
    <w:rsid w:val="00AA3DF0"/>
    <w:rsid w:val="00AA548F"/>
    <w:rsid w:val="00AA58A2"/>
    <w:rsid w:val="00AA7C13"/>
    <w:rsid w:val="00AB08BE"/>
    <w:rsid w:val="00AB09DF"/>
    <w:rsid w:val="00AB327F"/>
    <w:rsid w:val="00AB3D11"/>
    <w:rsid w:val="00AC1E3E"/>
    <w:rsid w:val="00AC2234"/>
    <w:rsid w:val="00AC6ABB"/>
    <w:rsid w:val="00AC7D70"/>
    <w:rsid w:val="00AD03EB"/>
    <w:rsid w:val="00AD0B44"/>
    <w:rsid w:val="00AD3D57"/>
    <w:rsid w:val="00AD412F"/>
    <w:rsid w:val="00AD4A4A"/>
    <w:rsid w:val="00AD5EB4"/>
    <w:rsid w:val="00AD6D1B"/>
    <w:rsid w:val="00AE55EA"/>
    <w:rsid w:val="00AE716A"/>
    <w:rsid w:val="00AE7DEE"/>
    <w:rsid w:val="00AF00CE"/>
    <w:rsid w:val="00AF02DF"/>
    <w:rsid w:val="00AF28BE"/>
    <w:rsid w:val="00AF33AE"/>
    <w:rsid w:val="00AF4515"/>
    <w:rsid w:val="00AF57EE"/>
    <w:rsid w:val="00AF75FD"/>
    <w:rsid w:val="00B0068C"/>
    <w:rsid w:val="00B01812"/>
    <w:rsid w:val="00B01C30"/>
    <w:rsid w:val="00B038A3"/>
    <w:rsid w:val="00B03E3B"/>
    <w:rsid w:val="00B04162"/>
    <w:rsid w:val="00B04292"/>
    <w:rsid w:val="00B05CB0"/>
    <w:rsid w:val="00B06124"/>
    <w:rsid w:val="00B069E5"/>
    <w:rsid w:val="00B079BC"/>
    <w:rsid w:val="00B11307"/>
    <w:rsid w:val="00B1242A"/>
    <w:rsid w:val="00B12522"/>
    <w:rsid w:val="00B12ECF"/>
    <w:rsid w:val="00B13FBA"/>
    <w:rsid w:val="00B1401C"/>
    <w:rsid w:val="00B14B90"/>
    <w:rsid w:val="00B16686"/>
    <w:rsid w:val="00B218BA"/>
    <w:rsid w:val="00B23B30"/>
    <w:rsid w:val="00B23B70"/>
    <w:rsid w:val="00B24895"/>
    <w:rsid w:val="00B24E61"/>
    <w:rsid w:val="00B25B3B"/>
    <w:rsid w:val="00B26D15"/>
    <w:rsid w:val="00B30738"/>
    <w:rsid w:val="00B30914"/>
    <w:rsid w:val="00B30A1B"/>
    <w:rsid w:val="00B30C24"/>
    <w:rsid w:val="00B32493"/>
    <w:rsid w:val="00B32D1D"/>
    <w:rsid w:val="00B3310C"/>
    <w:rsid w:val="00B33AE3"/>
    <w:rsid w:val="00B33F19"/>
    <w:rsid w:val="00B343DF"/>
    <w:rsid w:val="00B343E6"/>
    <w:rsid w:val="00B34A4C"/>
    <w:rsid w:val="00B35926"/>
    <w:rsid w:val="00B36A17"/>
    <w:rsid w:val="00B37F8A"/>
    <w:rsid w:val="00B45A2A"/>
    <w:rsid w:val="00B45C9A"/>
    <w:rsid w:val="00B465F2"/>
    <w:rsid w:val="00B46675"/>
    <w:rsid w:val="00B467DA"/>
    <w:rsid w:val="00B530FD"/>
    <w:rsid w:val="00B553B1"/>
    <w:rsid w:val="00B57BE4"/>
    <w:rsid w:val="00B57F86"/>
    <w:rsid w:val="00B64162"/>
    <w:rsid w:val="00B6470C"/>
    <w:rsid w:val="00B668A1"/>
    <w:rsid w:val="00B7026E"/>
    <w:rsid w:val="00B70BA8"/>
    <w:rsid w:val="00B75C01"/>
    <w:rsid w:val="00B7669D"/>
    <w:rsid w:val="00B77637"/>
    <w:rsid w:val="00B80533"/>
    <w:rsid w:val="00B822AB"/>
    <w:rsid w:val="00B82C9B"/>
    <w:rsid w:val="00B838F5"/>
    <w:rsid w:val="00B85088"/>
    <w:rsid w:val="00B86990"/>
    <w:rsid w:val="00B87744"/>
    <w:rsid w:val="00B90EB6"/>
    <w:rsid w:val="00B9106A"/>
    <w:rsid w:val="00B917BF"/>
    <w:rsid w:val="00B91E72"/>
    <w:rsid w:val="00B92A77"/>
    <w:rsid w:val="00B95072"/>
    <w:rsid w:val="00B97300"/>
    <w:rsid w:val="00BA1D20"/>
    <w:rsid w:val="00BA1FA0"/>
    <w:rsid w:val="00BA23BD"/>
    <w:rsid w:val="00BA42B1"/>
    <w:rsid w:val="00BA44EB"/>
    <w:rsid w:val="00BA662C"/>
    <w:rsid w:val="00BA6691"/>
    <w:rsid w:val="00BA734B"/>
    <w:rsid w:val="00BA74A4"/>
    <w:rsid w:val="00BB1345"/>
    <w:rsid w:val="00BB1AC0"/>
    <w:rsid w:val="00BB1F86"/>
    <w:rsid w:val="00BB4CC1"/>
    <w:rsid w:val="00BB58DF"/>
    <w:rsid w:val="00BB5AE2"/>
    <w:rsid w:val="00BB78F7"/>
    <w:rsid w:val="00BC0AAC"/>
    <w:rsid w:val="00BC1766"/>
    <w:rsid w:val="00BC1AF9"/>
    <w:rsid w:val="00BC40B0"/>
    <w:rsid w:val="00BC5586"/>
    <w:rsid w:val="00BC5745"/>
    <w:rsid w:val="00BC5EC4"/>
    <w:rsid w:val="00BD0A4F"/>
    <w:rsid w:val="00BD0CB0"/>
    <w:rsid w:val="00BD119D"/>
    <w:rsid w:val="00BD1B0B"/>
    <w:rsid w:val="00BD29BD"/>
    <w:rsid w:val="00BD3C92"/>
    <w:rsid w:val="00BD4361"/>
    <w:rsid w:val="00BD702D"/>
    <w:rsid w:val="00BD7AA4"/>
    <w:rsid w:val="00BD7C89"/>
    <w:rsid w:val="00BE43C8"/>
    <w:rsid w:val="00BE4684"/>
    <w:rsid w:val="00BE4E0E"/>
    <w:rsid w:val="00BE511C"/>
    <w:rsid w:val="00BE5B64"/>
    <w:rsid w:val="00BE6360"/>
    <w:rsid w:val="00BE721E"/>
    <w:rsid w:val="00BF01C8"/>
    <w:rsid w:val="00BF2628"/>
    <w:rsid w:val="00BF311C"/>
    <w:rsid w:val="00BF3275"/>
    <w:rsid w:val="00BF340A"/>
    <w:rsid w:val="00BF3CFC"/>
    <w:rsid w:val="00BF44F5"/>
    <w:rsid w:val="00BF76C8"/>
    <w:rsid w:val="00BF77AE"/>
    <w:rsid w:val="00C00A81"/>
    <w:rsid w:val="00C010DC"/>
    <w:rsid w:val="00C02A9C"/>
    <w:rsid w:val="00C0571B"/>
    <w:rsid w:val="00C05940"/>
    <w:rsid w:val="00C05F8D"/>
    <w:rsid w:val="00C0617C"/>
    <w:rsid w:val="00C0684E"/>
    <w:rsid w:val="00C06B90"/>
    <w:rsid w:val="00C103CE"/>
    <w:rsid w:val="00C12999"/>
    <w:rsid w:val="00C16C70"/>
    <w:rsid w:val="00C17680"/>
    <w:rsid w:val="00C17F53"/>
    <w:rsid w:val="00C20AB3"/>
    <w:rsid w:val="00C21B0E"/>
    <w:rsid w:val="00C245FB"/>
    <w:rsid w:val="00C25AD5"/>
    <w:rsid w:val="00C30E87"/>
    <w:rsid w:val="00C346F1"/>
    <w:rsid w:val="00C34C1B"/>
    <w:rsid w:val="00C35907"/>
    <w:rsid w:val="00C36389"/>
    <w:rsid w:val="00C36E94"/>
    <w:rsid w:val="00C40BD2"/>
    <w:rsid w:val="00C41202"/>
    <w:rsid w:val="00C416E2"/>
    <w:rsid w:val="00C4268E"/>
    <w:rsid w:val="00C43BF2"/>
    <w:rsid w:val="00C463B5"/>
    <w:rsid w:val="00C46524"/>
    <w:rsid w:val="00C46FAD"/>
    <w:rsid w:val="00C472F6"/>
    <w:rsid w:val="00C47A9D"/>
    <w:rsid w:val="00C5170F"/>
    <w:rsid w:val="00C51B04"/>
    <w:rsid w:val="00C52C01"/>
    <w:rsid w:val="00C53667"/>
    <w:rsid w:val="00C53E0D"/>
    <w:rsid w:val="00C54B53"/>
    <w:rsid w:val="00C56C2E"/>
    <w:rsid w:val="00C57A1C"/>
    <w:rsid w:val="00C6055F"/>
    <w:rsid w:val="00C613BD"/>
    <w:rsid w:val="00C626D9"/>
    <w:rsid w:val="00C62C53"/>
    <w:rsid w:val="00C678B6"/>
    <w:rsid w:val="00C73D1B"/>
    <w:rsid w:val="00C75796"/>
    <w:rsid w:val="00C75A3F"/>
    <w:rsid w:val="00C761BD"/>
    <w:rsid w:val="00C805D7"/>
    <w:rsid w:val="00C814C5"/>
    <w:rsid w:val="00C829ED"/>
    <w:rsid w:val="00C84598"/>
    <w:rsid w:val="00C866D9"/>
    <w:rsid w:val="00C90E2A"/>
    <w:rsid w:val="00C91AAD"/>
    <w:rsid w:val="00C93D19"/>
    <w:rsid w:val="00C96DE0"/>
    <w:rsid w:val="00C9775D"/>
    <w:rsid w:val="00CA24FF"/>
    <w:rsid w:val="00CA4056"/>
    <w:rsid w:val="00CA514D"/>
    <w:rsid w:val="00CA7BB1"/>
    <w:rsid w:val="00CB3B9C"/>
    <w:rsid w:val="00CC1076"/>
    <w:rsid w:val="00CC21D3"/>
    <w:rsid w:val="00CC5936"/>
    <w:rsid w:val="00CC5E55"/>
    <w:rsid w:val="00CC795C"/>
    <w:rsid w:val="00CD571E"/>
    <w:rsid w:val="00CE125F"/>
    <w:rsid w:val="00CE192F"/>
    <w:rsid w:val="00CE20E1"/>
    <w:rsid w:val="00CE2AC9"/>
    <w:rsid w:val="00CE2B71"/>
    <w:rsid w:val="00CE2ECF"/>
    <w:rsid w:val="00CE47AD"/>
    <w:rsid w:val="00CF01F6"/>
    <w:rsid w:val="00CF0301"/>
    <w:rsid w:val="00CF0D74"/>
    <w:rsid w:val="00CF1422"/>
    <w:rsid w:val="00CF19B2"/>
    <w:rsid w:val="00CF72EA"/>
    <w:rsid w:val="00CF79F3"/>
    <w:rsid w:val="00CF7E0F"/>
    <w:rsid w:val="00D00F94"/>
    <w:rsid w:val="00D019ED"/>
    <w:rsid w:val="00D01B5D"/>
    <w:rsid w:val="00D03167"/>
    <w:rsid w:val="00D03E04"/>
    <w:rsid w:val="00D05CB9"/>
    <w:rsid w:val="00D060CB"/>
    <w:rsid w:val="00D07ABF"/>
    <w:rsid w:val="00D10AD7"/>
    <w:rsid w:val="00D16C3F"/>
    <w:rsid w:val="00D17357"/>
    <w:rsid w:val="00D20E2F"/>
    <w:rsid w:val="00D21B1A"/>
    <w:rsid w:val="00D22CE7"/>
    <w:rsid w:val="00D25683"/>
    <w:rsid w:val="00D25A38"/>
    <w:rsid w:val="00D27A77"/>
    <w:rsid w:val="00D27D05"/>
    <w:rsid w:val="00D307CA"/>
    <w:rsid w:val="00D32632"/>
    <w:rsid w:val="00D33603"/>
    <w:rsid w:val="00D34D80"/>
    <w:rsid w:val="00D370BA"/>
    <w:rsid w:val="00D40C94"/>
    <w:rsid w:val="00D44AAB"/>
    <w:rsid w:val="00D50964"/>
    <w:rsid w:val="00D5127F"/>
    <w:rsid w:val="00D51536"/>
    <w:rsid w:val="00D5155B"/>
    <w:rsid w:val="00D52330"/>
    <w:rsid w:val="00D53548"/>
    <w:rsid w:val="00D55CB5"/>
    <w:rsid w:val="00D562F7"/>
    <w:rsid w:val="00D608A8"/>
    <w:rsid w:val="00D60A94"/>
    <w:rsid w:val="00D610DB"/>
    <w:rsid w:val="00D64EE0"/>
    <w:rsid w:val="00D66F56"/>
    <w:rsid w:val="00D671DA"/>
    <w:rsid w:val="00D7592F"/>
    <w:rsid w:val="00D76934"/>
    <w:rsid w:val="00D77843"/>
    <w:rsid w:val="00D83DF3"/>
    <w:rsid w:val="00D849B5"/>
    <w:rsid w:val="00D84BAA"/>
    <w:rsid w:val="00D85D07"/>
    <w:rsid w:val="00D865C7"/>
    <w:rsid w:val="00D87101"/>
    <w:rsid w:val="00D87E13"/>
    <w:rsid w:val="00D91867"/>
    <w:rsid w:val="00D9196E"/>
    <w:rsid w:val="00D92EE4"/>
    <w:rsid w:val="00D947F6"/>
    <w:rsid w:val="00D96E53"/>
    <w:rsid w:val="00DA0537"/>
    <w:rsid w:val="00DA2B2A"/>
    <w:rsid w:val="00DA2C33"/>
    <w:rsid w:val="00DA2CAB"/>
    <w:rsid w:val="00DA4DBF"/>
    <w:rsid w:val="00DA5AE9"/>
    <w:rsid w:val="00DA65A8"/>
    <w:rsid w:val="00DA6F60"/>
    <w:rsid w:val="00DA78DF"/>
    <w:rsid w:val="00DB2619"/>
    <w:rsid w:val="00DB2E33"/>
    <w:rsid w:val="00DB4D68"/>
    <w:rsid w:val="00DB68CF"/>
    <w:rsid w:val="00DB72D9"/>
    <w:rsid w:val="00DB756D"/>
    <w:rsid w:val="00DB759A"/>
    <w:rsid w:val="00DC0523"/>
    <w:rsid w:val="00DC17FD"/>
    <w:rsid w:val="00DC3282"/>
    <w:rsid w:val="00DC4071"/>
    <w:rsid w:val="00DC5101"/>
    <w:rsid w:val="00DC63F5"/>
    <w:rsid w:val="00DC75DF"/>
    <w:rsid w:val="00DC7E45"/>
    <w:rsid w:val="00DD067B"/>
    <w:rsid w:val="00DD0C21"/>
    <w:rsid w:val="00DD2074"/>
    <w:rsid w:val="00DD36BA"/>
    <w:rsid w:val="00DD3B3C"/>
    <w:rsid w:val="00DD5B91"/>
    <w:rsid w:val="00DD5E2A"/>
    <w:rsid w:val="00DD60DC"/>
    <w:rsid w:val="00DE2037"/>
    <w:rsid w:val="00DE31CA"/>
    <w:rsid w:val="00DE3AC1"/>
    <w:rsid w:val="00DE614B"/>
    <w:rsid w:val="00DE62AC"/>
    <w:rsid w:val="00DF0A96"/>
    <w:rsid w:val="00DF4276"/>
    <w:rsid w:val="00DF5115"/>
    <w:rsid w:val="00DF6526"/>
    <w:rsid w:val="00E01A32"/>
    <w:rsid w:val="00E04159"/>
    <w:rsid w:val="00E10014"/>
    <w:rsid w:val="00E1119E"/>
    <w:rsid w:val="00E112F4"/>
    <w:rsid w:val="00E12041"/>
    <w:rsid w:val="00E137CF"/>
    <w:rsid w:val="00E14B7C"/>
    <w:rsid w:val="00E1787A"/>
    <w:rsid w:val="00E17C4B"/>
    <w:rsid w:val="00E22B76"/>
    <w:rsid w:val="00E23360"/>
    <w:rsid w:val="00E236C2"/>
    <w:rsid w:val="00E23C07"/>
    <w:rsid w:val="00E268B0"/>
    <w:rsid w:val="00E26C1D"/>
    <w:rsid w:val="00E30659"/>
    <w:rsid w:val="00E339B7"/>
    <w:rsid w:val="00E34945"/>
    <w:rsid w:val="00E3565B"/>
    <w:rsid w:val="00E36E24"/>
    <w:rsid w:val="00E4356F"/>
    <w:rsid w:val="00E43ADF"/>
    <w:rsid w:val="00E4409B"/>
    <w:rsid w:val="00E446BC"/>
    <w:rsid w:val="00E526F3"/>
    <w:rsid w:val="00E5326C"/>
    <w:rsid w:val="00E54F84"/>
    <w:rsid w:val="00E5517D"/>
    <w:rsid w:val="00E55BA7"/>
    <w:rsid w:val="00E57CF8"/>
    <w:rsid w:val="00E62980"/>
    <w:rsid w:val="00E6328C"/>
    <w:rsid w:val="00E64CA3"/>
    <w:rsid w:val="00E65082"/>
    <w:rsid w:val="00E675F5"/>
    <w:rsid w:val="00E70D6F"/>
    <w:rsid w:val="00E75742"/>
    <w:rsid w:val="00E765BD"/>
    <w:rsid w:val="00E77037"/>
    <w:rsid w:val="00E842F6"/>
    <w:rsid w:val="00E844C4"/>
    <w:rsid w:val="00E8559F"/>
    <w:rsid w:val="00E8636A"/>
    <w:rsid w:val="00E8643C"/>
    <w:rsid w:val="00E876CD"/>
    <w:rsid w:val="00E926AA"/>
    <w:rsid w:val="00E929FC"/>
    <w:rsid w:val="00E92E65"/>
    <w:rsid w:val="00E93900"/>
    <w:rsid w:val="00E93A77"/>
    <w:rsid w:val="00E96295"/>
    <w:rsid w:val="00EA00A9"/>
    <w:rsid w:val="00EA0362"/>
    <w:rsid w:val="00EA2301"/>
    <w:rsid w:val="00EA38FD"/>
    <w:rsid w:val="00EA4491"/>
    <w:rsid w:val="00EA6CD5"/>
    <w:rsid w:val="00EA6D61"/>
    <w:rsid w:val="00EB0BA6"/>
    <w:rsid w:val="00EB22C1"/>
    <w:rsid w:val="00EB6F0A"/>
    <w:rsid w:val="00EB7A13"/>
    <w:rsid w:val="00EC0B54"/>
    <w:rsid w:val="00EC136C"/>
    <w:rsid w:val="00EC1F54"/>
    <w:rsid w:val="00EC3644"/>
    <w:rsid w:val="00EC3A74"/>
    <w:rsid w:val="00EC5179"/>
    <w:rsid w:val="00EC51DA"/>
    <w:rsid w:val="00EC7DF5"/>
    <w:rsid w:val="00ED2C2D"/>
    <w:rsid w:val="00ED4DF7"/>
    <w:rsid w:val="00ED521E"/>
    <w:rsid w:val="00ED5819"/>
    <w:rsid w:val="00EE0B0D"/>
    <w:rsid w:val="00EE1378"/>
    <w:rsid w:val="00EE2C48"/>
    <w:rsid w:val="00EE4011"/>
    <w:rsid w:val="00EE46B9"/>
    <w:rsid w:val="00EE5FFA"/>
    <w:rsid w:val="00EE7C97"/>
    <w:rsid w:val="00EF58FD"/>
    <w:rsid w:val="00EF6DDE"/>
    <w:rsid w:val="00F02B5C"/>
    <w:rsid w:val="00F05F44"/>
    <w:rsid w:val="00F062E8"/>
    <w:rsid w:val="00F064E3"/>
    <w:rsid w:val="00F134C8"/>
    <w:rsid w:val="00F13666"/>
    <w:rsid w:val="00F1384B"/>
    <w:rsid w:val="00F141C9"/>
    <w:rsid w:val="00F14996"/>
    <w:rsid w:val="00F14BA0"/>
    <w:rsid w:val="00F16B94"/>
    <w:rsid w:val="00F16D80"/>
    <w:rsid w:val="00F16F06"/>
    <w:rsid w:val="00F171E5"/>
    <w:rsid w:val="00F2397F"/>
    <w:rsid w:val="00F252BA"/>
    <w:rsid w:val="00F26477"/>
    <w:rsid w:val="00F26DA5"/>
    <w:rsid w:val="00F26EA8"/>
    <w:rsid w:val="00F30CE6"/>
    <w:rsid w:val="00F3143C"/>
    <w:rsid w:val="00F32F8A"/>
    <w:rsid w:val="00F331E4"/>
    <w:rsid w:val="00F33A6C"/>
    <w:rsid w:val="00F35DE4"/>
    <w:rsid w:val="00F36928"/>
    <w:rsid w:val="00F4073A"/>
    <w:rsid w:val="00F43F63"/>
    <w:rsid w:val="00F47621"/>
    <w:rsid w:val="00F519FC"/>
    <w:rsid w:val="00F530FD"/>
    <w:rsid w:val="00F53B7A"/>
    <w:rsid w:val="00F541F3"/>
    <w:rsid w:val="00F55B1B"/>
    <w:rsid w:val="00F56E6E"/>
    <w:rsid w:val="00F5755A"/>
    <w:rsid w:val="00F61D52"/>
    <w:rsid w:val="00F62AB8"/>
    <w:rsid w:val="00F62B03"/>
    <w:rsid w:val="00F63241"/>
    <w:rsid w:val="00F65C39"/>
    <w:rsid w:val="00F665E6"/>
    <w:rsid w:val="00F70284"/>
    <w:rsid w:val="00F71472"/>
    <w:rsid w:val="00F72170"/>
    <w:rsid w:val="00F7321E"/>
    <w:rsid w:val="00F73BD2"/>
    <w:rsid w:val="00F75E71"/>
    <w:rsid w:val="00F77C59"/>
    <w:rsid w:val="00F802A9"/>
    <w:rsid w:val="00F8276C"/>
    <w:rsid w:val="00F82B33"/>
    <w:rsid w:val="00F82EB0"/>
    <w:rsid w:val="00F83427"/>
    <w:rsid w:val="00F8439B"/>
    <w:rsid w:val="00F85ED1"/>
    <w:rsid w:val="00F85F83"/>
    <w:rsid w:val="00F9098E"/>
    <w:rsid w:val="00F9231D"/>
    <w:rsid w:val="00F967AE"/>
    <w:rsid w:val="00FA046D"/>
    <w:rsid w:val="00FA14E1"/>
    <w:rsid w:val="00FA1619"/>
    <w:rsid w:val="00FA1A38"/>
    <w:rsid w:val="00FA4F83"/>
    <w:rsid w:val="00FA6337"/>
    <w:rsid w:val="00FA6A17"/>
    <w:rsid w:val="00FA6B42"/>
    <w:rsid w:val="00FB54F1"/>
    <w:rsid w:val="00FB6D09"/>
    <w:rsid w:val="00FC01C9"/>
    <w:rsid w:val="00FC3450"/>
    <w:rsid w:val="00FC3E8A"/>
    <w:rsid w:val="00FC58BD"/>
    <w:rsid w:val="00FC6665"/>
    <w:rsid w:val="00FC6ACB"/>
    <w:rsid w:val="00FC7106"/>
    <w:rsid w:val="00FC73D2"/>
    <w:rsid w:val="00FD0558"/>
    <w:rsid w:val="00FD1B8C"/>
    <w:rsid w:val="00FD2C9D"/>
    <w:rsid w:val="00FD3536"/>
    <w:rsid w:val="00FD76A5"/>
    <w:rsid w:val="00FD7A65"/>
    <w:rsid w:val="00FE0ABA"/>
    <w:rsid w:val="00FE0DCD"/>
    <w:rsid w:val="00FE4B7F"/>
    <w:rsid w:val="00FE5AA3"/>
    <w:rsid w:val="00FF001C"/>
    <w:rsid w:val="00FF1F21"/>
    <w:rsid w:val="00FF26BE"/>
    <w:rsid w:val="00FF3AD4"/>
    <w:rsid w:val="00FF4255"/>
    <w:rsid w:val="00FF43E4"/>
    <w:rsid w:val="00FF689F"/>
    <w:rsid w:val="01204FE7"/>
    <w:rsid w:val="013D6697"/>
    <w:rsid w:val="02110555"/>
    <w:rsid w:val="024B6CD3"/>
    <w:rsid w:val="02952F24"/>
    <w:rsid w:val="03ED540F"/>
    <w:rsid w:val="04C44376"/>
    <w:rsid w:val="060B2F85"/>
    <w:rsid w:val="060C120F"/>
    <w:rsid w:val="07941252"/>
    <w:rsid w:val="07A019A5"/>
    <w:rsid w:val="080D01E6"/>
    <w:rsid w:val="08347C55"/>
    <w:rsid w:val="083920EC"/>
    <w:rsid w:val="098E3A7F"/>
    <w:rsid w:val="0AAA550E"/>
    <w:rsid w:val="0BCB2D68"/>
    <w:rsid w:val="0D5D3FAB"/>
    <w:rsid w:val="0D7F30D1"/>
    <w:rsid w:val="0D872640"/>
    <w:rsid w:val="0D9F4E2E"/>
    <w:rsid w:val="0E596AC7"/>
    <w:rsid w:val="0E990630"/>
    <w:rsid w:val="0EAA4EB7"/>
    <w:rsid w:val="0ECF6641"/>
    <w:rsid w:val="0EE478F4"/>
    <w:rsid w:val="0FD47345"/>
    <w:rsid w:val="125E1331"/>
    <w:rsid w:val="12CD4126"/>
    <w:rsid w:val="13491C79"/>
    <w:rsid w:val="13FA5D97"/>
    <w:rsid w:val="144B0EEA"/>
    <w:rsid w:val="14EC69B2"/>
    <w:rsid w:val="18D94312"/>
    <w:rsid w:val="191C50F9"/>
    <w:rsid w:val="19827DE5"/>
    <w:rsid w:val="199D3555"/>
    <w:rsid w:val="19DB061A"/>
    <w:rsid w:val="1ADF35A4"/>
    <w:rsid w:val="1BA565E1"/>
    <w:rsid w:val="1C2C61F0"/>
    <w:rsid w:val="1D4F7AD4"/>
    <w:rsid w:val="1DF842D3"/>
    <w:rsid w:val="22176DD5"/>
    <w:rsid w:val="2267586E"/>
    <w:rsid w:val="237D33F9"/>
    <w:rsid w:val="23B60F55"/>
    <w:rsid w:val="24E03966"/>
    <w:rsid w:val="26F40619"/>
    <w:rsid w:val="2A8D46CE"/>
    <w:rsid w:val="2AFF5307"/>
    <w:rsid w:val="2B2B1FB1"/>
    <w:rsid w:val="2BAB6B17"/>
    <w:rsid w:val="2C2B5641"/>
    <w:rsid w:val="2CD36504"/>
    <w:rsid w:val="2E973071"/>
    <w:rsid w:val="2EA77624"/>
    <w:rsid w:val="2FBB1073"/>
    <w:rsid w:val="30731155"/>
    <w:rsid w:val="30CF6903"/>
    <w:rsid w:val="30D84E82"/>
    <w:rsid w:val="31B859B9"/>
    <w:rsid w:val="32105583"/>
    <w:rsid w:val="32771258"/>
    <w:rsid w:val="337E22EA"/>
    <w:rsid w:val="338A6C01"/>
    <w:rsid w:val="35FB2318"/>
    <w:rsid w:val="369B7657"/>
    <w:rsid w:val="36F90A58"/>
    <w:rsid w:val="373D763D"/>
    <w:rsid w:val="37540F86"/>
    <w:rsid w:val="39D0688A"/>
    <w:rsid w:val="3A1A1078"/>
    <w:rsid w:val="3A850402"/>
    <w:rsid w:val="3B7A47F5"/>
    <w:rsid w:val="3C9B1A89"/>
    <w:rsid w:val="3CD803E1"/>
    <w:rsid w:val="3E1E0994"/>
    <w:rsid w:val="3E7F7EAC"/>
    <w:rsid w:val="3EC97015"/>
    <w:rsid w:val="3F513F7A"/>
    <w:rsid w:val="3FA73B2F"/>
    <w:rsid w:val="3FC16CBA"/>
    <w:rsid w:val="3FC419CD"/>
    <w:rsid w:val="406E788C"/>
    <w:rsid w:val="41B76DBF"/>
    <w:rsid w:val="41E4249A"/>
    <w:rsid w:val="43374264"/>
    <w:rsid w:val="43A22025"/>
    <w:rsid w:val="440C749E"/>
    <w:rsid w:val="445030DA"/>
    <w:rsid w:val="44CE0BF8"/>
    <w:rsid w:val="46A73B75"/>
    <w:rsid w:val="474B4F44"/>
    <w:rsid w:val="47D82312"/>
    <w:rsid w:val="49DB3642"/>
    <w:rsid w:val="4A170C7C"/>
    <w:rsid w:val="4B410A7B"/>
    <w:rsid w:val="4BF3168A"/>
    <w:rsid w:val="4D7F26A8"/>
    <w:rsid w:val="4E437F61"/>
    <w:rsid w:val="4FCF3C9E"/>
    <w:rsid w:val="50F20458"/>
    <w:rsid w:val="53004672"/>
    <w:rsid w:val="533A0C8F"/>
    <w:rsid w:val="535E4E9A"/>
    <w:rsid w:val="5420515C"/>
    <w:rsid w:val="54255F1A"/>
    <w:rsid w:val="547C2B82"/>
    <w:rsid w:val="5519384F"/>
    <w:rsid w:val="553D3D10"/>
    <w:rsid w:val="5574097C"/>
    <w:rsid w:val="55CA70E4"/>
    <w:rsid w:val="56FE5192"/>
    <w:rsid w:val="5730129E"/>
    <w:rsid w:val="585D4208"/>
    <w:rsid w:val="586B46E3"/>
    <w:rsid w:val="58F42944"/>
    <w:rsid w:val="5C237883"/>
    <w:rsid w:val="5D015BB7"/>
    <w:rsid w:val="5E0F5F52"/>
    <w:rsid w:val="5E612863"/>
    <w:rsid w:val="5ECF2E97"/>
    <w:rsid w:val="5F88085E"/>
    <w:rsid w:val="5FF702F0"/>
    <w:rsid w:val="62E742D1"/>
    <w:rsid w:val="631746CA"/>
    <w:rsid w:val="63F6213B"/>
    <w:rsid w:val="655529EB"/>
    <w:rsid w:val="664C6B61"/>
    <w:rsid w:val="674943E2"/>
    <w:rsid w:val="67570A7F"/>
    <w:rsid w:val="67CF2561"/>
    <w:rsid w:val="69A51678"/>
    <w:rsid w:val="69F30635"/>
    <w:rsid w:val="6C101972"/>
    <w:rsid w:val="6CC938CF"/>
    <w:rsid w:val="6E5306D0"/>
    <w:rsid w:val="6F9C52CB"/>
    <w:rsid w:val="6FC956CC"/>
    <w:rsid w:val="719324B6"/>
    <w:rsid w:val="71997D14"/>
    <w:rsid w:val="72386EC2"/>
    <w:rsid w:val="73AF2D7A"/>
    <w:rsid w:val="73C3551C"/>
    <w:rsid w:val="75660855"/>
    <w:rsid w:val="76244146"/>
    <w:rsid w:val="79322FD6"/>
    <w:rsid w:val="7A9969F3"/>
    <w:rsid w:val="7C415E32"/>
    <w:rsid w:val="7D231D04"/>
    <w:rsid w:val="7D376208"/>
    <w:rsid w:val="7E8707A6"/>
    <w:rsid w:val="7F0D7F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0" w:semiHidden="0" w:name="toc 4"/>
    <w:lsdException w:qFormat="1" w:uiPriority="0"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0" w:semiHidden="0" w:name="Balloon Text"/>
    <w:lsdException w:qFormat="1" w:unhideWhenUsed="0" w:uiPriority="39"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8"/>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69"/>
    <w:qFormat/>
    <w:uiPriority w:val="0"/>
    <w:pPr>
      <w:wordWrap w:val="0"/>
      <w:spacing w:before="120" w:line="400" w:lineRule="exact"/>
      <w:ind w:firstLine="464" w:firstLineChars="170"/>
      <w:outlineLvl w:val="2"/>
    </w:pPr>
    <w:rPr>
      <w:rFonts w:eastAsia="黑体"/>
      <w:bCs/>
      <w:sz w:val="28"/>
      <w:szCs w:val="32"/>
    </w:rPr>
  </w:style>
  <w:style w:type="paragraph" w:styleId="5">
    <w:name w:val="heading 4"/>
    <w:basedOn w:val="1"/>
    <w:next w:val="1"/>
    <w:link w:val="70"/>
    <w:qFormat/>
    <w:uiPriority w:val="0"/>
    <w:pPr>
      <w:keepNext/>
      <w:keepLines/>
      <w:spacing w:line="400" w:lineRule="exact"/>
      <w:outlineLvl w:val="3"/>
    </w:pPr>
    <w:rPr>
      <w:bCs/>
      <w:sz w:val="24"/>
      <w:szCs w:val="28"/>
    </w:rPr>
  </w:style>
  <w:style w:type="paragraph" w:styleId="6">
    <w:name w:val="heading 5"/>
    <w:basedOn w:val="1"/>
    <w:next w:val="1"/>
    <w:link w:val="71"/>
    <w:qFormat/>
    <w:uiPriority w:val="9"/>
    <w:pPr>
      <w:keepNext/>
      <w:keepLines/>
      <w:spacing w:before="120" w:line="400" w:lineRule="exact"/>
      <w:ind w:firstLine="170" w:firstLineChars="170"/>
      <w:outlineLvl w:val="4"/>
    </w:pPr>
    <w:rPr>
      <w:rFonts w:eastAsia="黑体"/>
      <w:bCs/>
      <w:sz w:val="28"/>
      <w:szCs w:val="28"/>
    </w:rPr>
  </w:style>
  <w:style w:type="paragraph" w:styleId="7">
    <w:name w:val="heading 6"/>
    <w:basedOn w:val="1"/>
    <w:next w:val="1"/>
    <w:link w:val="7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73"/>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74"/>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75"/>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line="400" w:lineRule="exact"/>
      <w:ind w:left="2520" w:leftChars="1200"/>
    </w:pPr>
    <w:rPr>
      <w:sz w:val="24"/>
      <w:szCs w:val="22"/>
    </w:rPr>
  </w:style>
  <w:style w:type="paragraph" w:styleId="12">
    <w:name w:val="Normal Indent"/>
    <w:basedOn w:val="1"/>
    <w:next w:val="1"/>
    <w:link w:val="141"/>
    <w:qFormat/>
    <w:uiPriority w:val="0"/>
    <w:pPr>
      <w:spacing w:line="400" w:lineRule="exact"/>
      <w:ind w:firstLine="420" w:firstLineChars="200"/>
    </w:pPr>
    <w:rPr>
      <w:rFonts w:eastAsiaTheme="minorEastAsia" w:cstheme="minorBidi"/>
    </w:rPr>
  </w:style>
  <w:style w:type="paragraph" w:styleId="13">
    <w:name w:val="caption"/>
    <w:basedOn w:val="1"/>
    <w:next w:val="1"/>
    <w:qFormat/>
    <w:uiPriority w:val="0"/>
    <w:pPr>
      <w:spacing w:line="400" w:lineRule="exact"/>
    </w:pPr>
    <w:rPr>
      <w:rFonts w:ascii="Cambria" w:hAnsi="Cambria" w:eastAsia="黑体"/>
      <w:sz w:val="20"/>
      <w:szCs w:val="20"/>
    </w:rPr>
  </w:style>
  <w:style w:type="paragraph" w:styleId="14">
    <w:name w:val="Document Map"/>
    <w:basedOn w:val="1"/>
    <w:link w:val="145"/>
    <w:qFormat/>
    <w:uiPriority w:val="99"/>
    <w:pPr>
      <w:shd w:val="clear" w:color="auto" w:fill="000080"/>
      <w:spacing w:line="400" w:lineRule="exact"/>
    </w:pPr>
    <w:rPr>
      <w:rFonts w:eastAsiaTheme="minorEastAsia" w:cstheme="minorBidi"/>
    </w:rPr>
  </w:style>
  <w:style w:type="paragraph" w:styleId="15">
    <w:name w:val="annotation text"/>
    <w:basedOn w:val="1"/>
    <w:link w:val="134"/>
    <w:unhideWhenUsed/>
    <w:qFormat/>
    <w:uiPriority w:val="0"/>
    <w:pPr>
      <w:jc w:val="left"/>
    </w:pPr>
  </w:style>
  <w:style w:type="paragraph" w:styleId="16">
    <w:name w:val="Body Text 3"/>
    <w:basedOn w:val="1"/>
    <w:link w:val="123"/>
    <w:qFormat/>
    <w:uiPriority w:val="0"/>
    <w:pPr>
      <w:spacing w:line="400" w:lineRule="exact"/>
    </w:pPr>
    <w:rPr>
      <w:rFonts w:ascii="宋体" w:eastAsiaTheme="minorEastAsia" w:cstheme="minorBidi"/>
      <w:sz w:val="24"/>
      <w:szCs w:val="20"/>
    </w:rPr>
  </w:style>
  <w:style w:type="paragraph" w:styleId="17">
    <w:name w:val="Body Text"/>
    <w:basedOn w:val="1"/>
    <w:next w:val="1"/>
    <w:link w:val="76"/>
    <w:unhideWhenUsed/>
    <w:qFormat/>
    <w:uiPriority w:val="99"/>
    <w:pPr>
      <w:spacing w:after="120"/>
    </w:pPr>
  </w:style>
  <w:style w:type="paragraph" w:styleId="18">
    <w:name w:val="Body Text Indent"/>
    <w:basedOn w:val="1"/>
    <w:link w:val="77"/>
    <w:qFormat/>
    <w:uiPriority w:val="99"/>
    <w:pPr>
      <w:spacing w:after="120"/>
      <w:ind w:left="420" w:leftChars="200"/>
    </w:pPr>
    <w:rPr>
      <w:rFonts w:ascii="Calibri" w:hAnsi="Calibri"/>
      <w:kern w:val="0"/>
      <w:sz w:val="24"/>
    </w:rPr>
  </w:style>
  <w:style w:type="paragraph" w:styleId="19">
    <w:name w:val="Block Text"/>
    <w:basedOn w:val="1"/>
    <w:qFormat/>
    <w:uiPriority w:val="0"/>
    <w:pPr>
      <w:adjustRightInd w:val="0"/>
      <w:ind w:left="420" w:right="33"/>
      <w:jc w:val="left"/>
      <w:textAlignment w:val="baseline"/>
    </w:pPr>
    <w:rPr>
      <w:kern w:val="0"/>
      <w:sz w:val="24"/>
      <w:szCs w:val="20"/>
    </w:rPr>
  </w:style>
  <w:style w:type="paragraph" w:styleId="20">
    <w:name w:val="index 4"/>
    <w:basedOn w:val="1"/>
    <w:next w:val="1"/>
    <w:qFormat/>
    <w:uiPriority w:val="0"/>
    <w:pPr>
      <w:spacing w:line="400" w:lineRule="exact"/>
      <w:ind w:left="600" w:leftChars="600"/>
    </w:pPr>
    <w:rPr>
      <w:sz w:val="24"/>
    </w:rPr>
  </w:style>
  <w:style w:type="paragraph" w:styleId="21">
    <w:name w:val="toc 5"/>
    <w:basedOn w:val="1"/>
    <w:next w:val="1"/>
    <w:unhideWhenUsed/>
    <w:qFormat/>
    <w:uiPriority w:val="0"/>
    <w:pPr>
      <w:spacing w:line="400" w:lineRule="exact"/>
      <w:ind w:left="1680" w:leftChars="800"/>
    </w:pPr>
    <w:rPr>
      <w:sz w:val="24"/>
      <w:szCs w:val="22"/>
    </w:rPr>
  </w:style>
  <w:style w:type="paragraph" w:styleId="22">
    <w:name w:val="toc 3"/>
    <w:basedOn w:val="1"/>
    <w:next w:val="1"/>
    <w:qFormat/>
    <w:uiPriority w:val="0"/>
    <w:pPr>
      <w:spacing w:line="400" w:lineRule="exact"/>
      <w:ind w:left="840" w:leftChars="400"/>
    </w:pPr>
    <w:rPr>
      <w:sz w:val="24"/>
    </w:rPr>
  </w:style>
  <w:style w:type="paragraph" w:styleId="23">
    <w:name w:val="Plain Text"/>
    <w:basedOn w:val="1"/>
    <w:link w:val="78"/>
    <w:qFormat/>
    <w:uiPriority w:val="0"/>
    <w:rPr>
      <w:rFonts w:ascii="宋体" w:hAnsi="Courier New" w:cstheme="minorBidi"/>
      <w:szCs w:val="20"/>
    </w:rPr>
  </w:style>
  <w:style w:type="paragraph" w:styleId="24">
    <w:name w:val="toc 8"/>
    <w:basedOn w:val="1"/>
    <w:next w:val="1"/>
    <w:unhideWhenUsed/>
    <w:qFormat/>
    <w:uiPriority w:val="39"/>
    <w:pPr>
      <w:spacing w:line="400" w:lineRule="exact"/>
      <w:ind w:left="2940" w:leftChars="1400"/>
    </w:pPr>
    <w:rPr>
      <w:sz w:val="24"/>
      <w:szCs w:val="22"/>
    </w:rPr>
  </w:style>
  <w:style w:type="paragraph" w:styleId="25">
    <w:name w:val="Date"/>
    <w:basedOn w:val="1"/>
    <w:next w:val="1"/>
    <w:link w:val="99"/>
    <w:unhideWhenUsed/>
    <w:qFormat/>
    <w:uiPriority w:val="0"/>
    <w:pPr>
      <w:ind w:left="100" w:leftChars="2500"/>
    </w:pPr>
  </w:style>
  <w:style w:type="paragraph" w:styleId="26">
    <w:name w:val="Body Text Indent 2"/>
    <w:basedOn w:val="1"/>
    <w:link w:val="79"/>
    <w:unhideWhenUsed/>
    <w:qFormat/>
    <w:uiPriority w:val="0"/>
    <w:pPr>
      <w:spacing w:after="120" w:line="480" w:lineRule="auto"/>
      <w:ind w:left="420" w:leftChars="200"/>
    </w:pPr>
  </w:style>
  <w:style w:type="paragraph" w:styleId="27">
    <w:name w:val="Balloon Text"/>
    <w:basedOn w:val="1"/>
    <w:link w:val="80"/>
    <w:unhideWhenUsed/>
    <w:qFormat/>
    <w:uiPriority w:val="0"/>
    <w:rPr>
      <w:sz w:val="18"/>
      <w:szCs w:val="18"/>
    </w:rPr>
  </w:style>
  <w:style w:type="paragraph" w:styleId="28">
    <w:name w:val="footer"/>
    <w:basedOn w:val="1"/>
    <w:link w:val="81"/>
    <w:unhideWhenUsed/>
    <w:qFormat/>
    <w:uiPriority w:val="99"/>
    <w:pPr>
      <w:tabs>
        <w:tab w:val="center" w:pos="4153"/>
        <w:tab w:val="right" w:pos="8306"/>
      </w:tabs>
      <w:snapToGrid w:val="0"/>
      <w:jc w:val="left"/>
    </w:pPr>
    <w:rPr>
      <w:sz w:val="18"/>
      <w:szCs w:val="18"/>
    </w:rPr>
  </w:style>
  <w:style w:type="paragraph" w:styleId="29">
    <w:name w:val="envelope return"/>
    <w:basedOn w:val="1"/>
    <w:qFormat/>
    <w:uiPriority w:val="0"/>
    <w:pPr>
      <w:snapToGrid w:val="0"/>
    </w:pPr>
    <w:rPr>
      <w:rFonts w:ascii="Arial" w:hAnsi="Arial" w:eastAsia="宋体" w:cs="Times New Roman"/>
    </w:rPr>
  </w:style>
  <w:style w:type="paragraph" w:styleId="30">
    <w:name w:val="header"/>
    <w:basedOn w:val="1"/>
    <w:link w:val="82"/>
    <w:unhideWhenUsed/>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9356"/>
      </w:tabs>
      <w:spacing w:line="440" w:lineRule="exact"/>
    </w:pPr>
    <w:rPr>
      <w:b/>
      <w:sz w:val="24"/>
    </w:rPr>
  </w:style>
  <w:style w:type="paragraph" w:styleId="32">
    <w:name w:val="toc 4"/>
    <w:basedOn w:val="1"/>
    <w:next w:val="1"/>
    <w:unhideWhenUsed/>
    <w:qFormat/>
    <w:uiPriority w:val="0"/>
    <w:pPr>
      <w:spacing w:line="400" w:lineRule="exact"/>
      <w:ind w:left="1260" w:leftChars="600"/>
    </w:pPr>
    <w:rPr>
      <w:sz w:val="24"/>
      <w:szCs w:val="22"/>
    </w:rPr>
  </w:style>
  <w:style w:type="paragraph" w:styleId="33">
    <w:name w:val="index heading"/>
    <w:basedOn w:val="1"/>
    <w:next w:val="34"/>
    <w:qFormat/>
    <w:uiPriority w:val="0"/>
    <w:pPr>
      <w:widowControl w:val="0"/>
      <w:jc w:val="both"/>
    </w:pPr>
    <w:rPr>
      <w:rFonts w:ascii="Arial" w:hAnsi="Arial" w:cs="Arial"/>
      <w:b/>
      <w:kern w:val="2"/>
      <w:szCs w:val="24"/>
    </w:rPr>
  </w:style>
  <w:style w:type="paragraph" w:styleId="34">
    <w:name w:val="index 1"/>
    <w:basedOn w:val="1"/>
    <w:next w:val="1"/>
    <w:qFormat/>
    <w:uiPriority w:val="0"/>
    <w:pPr>
      <w:spacing w:line="220" w:lineRule="exact"/>
      <w:jc w:val="center"/>
    </w:pPr>
    <w:rPr>
      <w:rFonts w:ascii="仿宋_GB2312" w:eastAsia="仿宋_GB2312"/>
      <w:sz w:val="24"/>
      <w:szCs w:val="21"/>
    </w:rPr>
  </w:style>
  <w:style w:type="paragraph" w:styleId="35">
    <w:name w:val="Subtitle"/>
    <w:basedOn w:val="1"/>
    <w:next w:val="1"/>
    <w:link w:val="144"/>
    <w:qFormat/>
    <w:uiPriority w:val="0"/>
    <w:pPr>
      <w:spacing w:before="120" w:line="480" w:lineRule="exact"/>
      <w:outlineLvl w:val="0"/>
    </w:pPr>
    <w:rPr>
      <w:rFonts w:eastAsia="黑体" w:cstheme="minorBidi"/>
      <w:bCs/>
      <w:kern w:val="0"/>
      <w:sz w:val="30"/>
      <w:szCs w:val="32"/>
    </w:rPr>
  </w:style>
  <w:style w:type="paragraph" w:styleId="36">
    <w:name w:val="List"/>
    <w:basedOn w:val="1"/>
    <w:qFormat/>
    <w:uiPriority w:val="0"/>
    <w:pPr>
      <w:ind w:left="200" w:hanging="200" w:hangingChars="200"/>
    </w:pPr>
    <w:rPr>
      <w:rFonts w:ascii="Calibri" w:hAnsi="Calibri"/>
    </w:rPr>
  </w:style>
  <w:style w:type="paragraph" w:styleId="37">
    <w:name w:val="footnote text"/>
    <w:basedOn w:val="1"/>
    <w:link w:val="132"/>
    <w:unhideWhenUsed/>
    <w:qFormat/>
    <w:uiPriority w:val="0"/>
    <w:pPr>
      <w:adjustRightInd w:val="0"/>
      <w:spacing w:line="312" w:lineRule="atLeast"/>
      <w:jc w:val="left"/>
    </w:pPr>
    <w:rPr>
      <w:rFonts w:eastAsiaTheme="minorEastAsia" w:cstheme="minorBidi"/>
      <w:kern w:val="0"/>
      <w:sz w:val="18"/>
      <w:szCs w:val="20"/>
    </w:rPr>
  </w:style>
  <w:style w:type="paragraph" w:styleId="38">
    <w:name w:val="toc 6"/>
    <w:basedOn w:val="1"/>
    <w:next w:val="1"/>
    <w:unhideWhenUsed/>
    <w:qFormat/>
    <w:uiPriority w:val="39"/>
    <w:pPr>
      <w:spacing w:line="400" w:lineRule="exact"/>
      <w:ind w:left="2100" w:leftChars="1000"/>
    </w:pPr>
    <w:rPr>
      <w:sz w:val="24"/>
      <w:szCs w:val="22"/>
    </w:rPr>
  </w:style>
  <w:style w:type="paragraph" w:styleId="39">
    <w:name w:val="Body Text Indent 3"/>
    <w:basedOn w:val="1"/>
    <w:link w:val="147"/>
    <w:qFormat/>
    <w:uiPriority w:val="0"/>
    <w:pPr>
      <w:spacing w:after="120" w:line="400" w:lineRule="exact"/>
      <w:ind w:left="420" w:leftChars="200"/>
    </w:pPr>
    <w:rPr>
      <w:rFonts w:eastAsiaTheme="minorEastAsia" w:cstheme="minorBidi"/>
      <w:sz w:val="16"/>
      <w:szCs w:val="16"/>
    </w:rPr>
  </w:style>
  <w:style w:type="paragraph" w:styleId="40">
    <w:name w:val="toc 2"/>
    <w:basedOn w:val="1"/>
    <w:next w:val="1"/>
    <w:qFormat/>
    <w:uiPriority w:val="39"/>
    <w:pPr>
      <w:spacing w:line="400" w:lineRule="exact"/>
      <w:ind w:left="420" w:leftChars="200"/>
    </w:pPr>
    <w:rPr>
      <w:sz w:val="24"/>
    </w:rPr>
  </w:style>
  <w:style w:type="paragraph" w:styleId="41">
    <w:name w:val="toc 9"/>
    <w:basedOn w:val="1"/>
    <w:next w:val="1"/>
    <w:unhideWhenUsed/>
    <w:qFormat/>
    <w:uiPriority w:val="39"/>
    <w:pPr>
      <w:spacing w:line="400" w:lineRule="exact"/>
      <w:ind w:left="3360" w:leftChars="1600"/>
    </w:pPr>
    <w:rPr>
      <w:sz w:val="24"/>
      <w:szCs w:val="22"/>
    </w:rPr>
  </w:style>
  <w:style w:type="paragraph" w:styleId="42">
    <w:name w:val="Body Text 2"/>
    <w:basedOn w:val="1"/>
    <w:link w:val="122"/>
    <w:unhideWhenUsed/>
    <w:qFormat/>
    <w:uiPriority w:val="99"/>
    <w:pPr>
      <w:spacing w:line="280" w:lineRule="exact"/>
    </w:pPr>
    <w:rPr>
      <w:rFonts w:eastAsiaTheme="minorEastAsia" w:cstheme="minorBidi"/>
      <w:spacing w:val="4"/>
      <w:sz w:val="18"/>
      <w:szCs w:val="20"/>
    </w:rPr>
  </w:style>
  <w:style w:type="paragraph" w:styleId="43">
    <w:name w:val="HTML Preformatted"/>
    <w:basedOn w:val="1"/>
    <w:link w:val="130"/>
    <w:unhideWhenUsed/>
    <w:qFormat/>
    <w:uiPriority w:val="99"/>
    <w:pPr>
      <w:spacing w:line="400" w:lineRule="exact"/>
    </w:pPr>
    <w:rPr>
      <w:rFonts w:ascii="Courier New" w:hAnsi="Courier New" w:cs="Courier New" w:eastAsiaTheme="minorEastAsia"/>
      <w:sz w:val="20"/>
      <w:szCs w:val="20"/>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5">
    <w:name w:val="Title"/>
    <w:basedOn w:val="1"/>
    <w:link w:val="83"/>
    <w:qFormat/>
    <w:uiPriority w:val="10"/>
    <w:pPr>
      <w:adjustRightInd w:val="0"/>
      <w:spacing w:before="240" w:after="60" w:line="420" w:lineRule="atLeast"/>
      <w:jc w:val="center"/>
      <w:textAlignment w:val="baseline"/>
      <w:outlineLvl w:val="0"/>
    </w:pPr>
    <w:rPr>
      <w:rFonts w:ascii="Arial" w:hAnsi="Arial" w:eastAsiaTheme="minorEastAsia" w:cstheme="minorBidi"/>
      <w:b/>
      <w:kern w:val="0"/>
      <w:sz w:val="32"/>
      <w:szCs w:val="20"/>
    </w:rPr>
  </w:style>
  <w:style w:type="paragraph" w:styleId="46">
    <w:name w:val="annotation subject"/>
    <w:basedOn w:val="15"/>
    <w:next w:val="15"/>
    <w:link w:val="133"/>
    <w:unhideWhenUsed/>
    <w:qFormat/>
    <w:uiPriority w:val="0"/>
    <w:pPr>
      <w:spacing w:line="400" w:lineRule="exact"/>
    </w:pPr>
    <w:rPr>
      <w:rFonts w:eastAsiaTheme="minorEastAsia" w:cstheme="minorBidi"/>
      <w:b/>
      <w:bCs/>
    </w:rPr>
  </w:style>
  <w:style w:type="paragraph" w:styleId="47">
    <w:name w:val="Body Text First Indent 2"/>
    <w:basedOn w:val="18"/>
    <w:next w:val="1"/>
    <w:link w:val="288"/>
    <w:unhideWhenUsed/>
    <w:qFormat/>
    <w:uiPriority w:val="0"/>
    <w:pPr>
      <w:ind w:firstLine="420" w:firstLineChars="200"/>
    </w:pPr>
    <w:rPr>
      <w:rFonts w:ascii="Times New Roman" w:hAnsi="Times New Roman"/>
      <w:kern w:val="2"/>
      <w:sz w:val="21"/>
    </w:rPr>
  </w:style>
  <w:style w:type="table" w:styleId="49">
    <w:name w:val="Table Grid"/>
    <w:basedOn w:val="4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22"/>
    <w:rPr>
      <w:b/>
      <w:bCs/>
    </w:rPr>
  </w:style>
  <w:style w:type="character" w:styleId="52">
    <w:name w:val="page number"/>
    <w:qFormat/>
    <w:uiPriority w:val="0"/>
    <w:rPr>
      <w:rFonts w:cs="Times New Roman"/>
    </w:rPr>
  </w:style>
  <w:style w:type="character" w:styleId="53">
    <w:name w:val="FollowedHyperlink"/>
    <w:qFormat/>
    <w:uiPriority w:val="0"/>
    <w:rPr>
      <w:color w:val="0000FF"/>
      <w:u w:val="single"/>
    </w:rPr>
  </w:style>
  <w:style w:type="character" w:styleId="54">
    <w:name w:val="Emphasis"/>
    <w:qFormat/>
    <w:uiPriority w:val="20"/>
    <w:rPr>
      <w:i/>
    </w:rPr>
  </w:style>
  <w:style w:type="character" w:styleId="55">
    <w:name w:val="HTML Definition"/>
    <w:qFormat/>
    <w:uiPriority w:val="0"/>
  </w:style>
  <w:style w:type="character" w:styleId="56">
    <w:name w:val="HTML Typewriter"/>
    <w:qFormat/>
    <w:uiPriority w:val="0"/>
    <w:rPr>
      <w:rFonts w:ascii="monospace" w:hAnsi="monospace" w:eastAsia="monospace" w:cs="monospace"/>
      <w:sz w:val="20"/>
    </w:rPr>
  </w:style>
  <w:style w:type="character" w:styleId="57">
    <w:name w:val="HTML Acronym"/>
    <w:basedOn w:val="50"/>
    <w:qFormat/>
    <w:uiPriority w:val="0"/>
  </w:style>
  <w:style w:type="character" w:styleId="58">
    <w:name w:val="HTML Variable"/>
    <w:qFormat/>
    <w:uiPriority w:val="0"/>
  </w:style>
  <w:style w:type="character" w:styleId="59">
    <w:name w:val="Hyperlink"/>
    <w:qFormat/>
    <w:uiPriority w:val="0"/>
    <w:rPr>
      <w:rFonts w:ascii="Verdana" w:hAnsi="Verdana" w:cs="Verdana"/>
      <w:color w:val="000000"/>
      <w:kern w:val="0"/>
      <w:sz w:val="20"/>
      <w:szCs w:val="20"/>
      <w:u w:val="none"/>
      <w:lang w:eastAsia="en-US"/>
    </w:rPr>
  </w:style>
  <w:style w:type="character" w:styleId="60">
    <w:name w:val="HTML Code"/>
    <w:qFormat/>
    <w:uiPriority w:val="0"/>
    <w:rPr>
      <w:rFonts w:hint="default" w:ascii="monospace" w:hAnsi="monospace" w:eastAsia="monospace" w:cs="monospace"/>
      <w:sz w:val="20"/>
    </w:rPr>
  </w:style>
  <w:style w:type="character" w:styleId="61">
    <w:name w:val="annotation reference"/>
    <w:qFormat/>
    <w:uiPriority w:val="0"/>
    <w:rPr>
      <w:sz w:val="21"/>
      <w:szCs w:val="21"/>
    </w:rPr>
  </w:style>
  <w:style w:type="character" w:styleId="62">
    <w:name w:val="HTML Cite"/>
    <w:qFormat/>
    <w:uiPriority w:val="0"/>
  </w:style>
  <w:style w:type="character" w:styleId="63">
    <w:name w:val="footnote reference"/>
    <w:unhideWhenUsed/>
    <w:qFormat/>
    <w:uiPriority w:val="0"/>
    <w:rPr>
      <w:vertAlign w:val="superscript"/>
    </w:rPr>
  </w:style>
  <w:style w:type="character" w:styleId="64">
    <w:name w:val="HTML Keyboard"/>
    <w:qFormat/>
    <w:uiPriority w:val="0"/>
    <w:rPr>
      <w:rFonts w:hint="default" w:ascii="monospace" w:hAnsi="monospace" w:eastAsia="monospace" w:cs="monospace"/>
      <w:sz w:val="20"/>
    </w:rPr>
  </w:style>
  <w:style w:type="character" w:styleId="65">
    <w:name w:val="HTML Sample"/>
    <w:qFormat/>
    <w:uiPriority w:val="0"/>
    <w:rPr>
      <w:rFonts w:hint="default" w:ascii="monospace" w:hAnsi="monospace" w:eastAsia="monospace" w:cs="monospace"/>
    </w:rPr>
  </w:style>
  <w:style w:type="paragraph" w:customStyle="1" w:styleId="66">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 w:type="character" w:customStyle="1" w:styleId="67">
    <w:name w:val="标题 1 Char"/>
    <w:basedOn w:val="50"/>
    <w:link w:val="2"/>
    <w:qFormat/>
    <w:uiPriority w:val="9"/>
    <w:rPr>
      <w:rFonts w:ascii="Times New Roman" w:hAnsi="Times New Roman" w:eastAsia="宋体" w:cs="Times New Roman"/>
      <w:b/>
      <w:bCs/>
      <w:kern w:val="44"/>
      <w:sz w:val="44"/>
      <w:szCs w:val="44"/>
    </w:rPr>
  </w:style>
  <w:style w:type="character" w:customStyle="1" w:styleId="68">
    <w:name w:val="标题 2 Char"/>
    <w:basedOn w:val="50"/>
    <w:link w:val="3"/>
    <w:qFormat/>
    <w:uiPriority w:val="0"/>
    <w:rPr>
      <w:rFonts w:ascii="Arial" w:hAnsi="Arial" w:eastAsia="黑体" w:cs="Times New Roman"/>
      <w:b/>
      <w:bCs/>
      <w:kern w:val="2"/>
      <w:sz w:val="32"/>
      <w:szCs w:val="32"/>
    </w:rPr>
  </w:style>
  <w:style w:type="character" w:customStyle="1" w:styleId="69">
    <w:name w:val="标题 3 Char"/>
    <w:basedOn w:val="50"/>
    <w:link w:val="4"/>
    <w:qFormat/>
    <w:uiPriority w:val="0"/>
    <w:rPr>
      <w:rFonts w:ascii="Times New Roman" w:hAnsi="Times New Roman" w:eastAsia="黑体" w:cs="Times New Roman"/>
      <w:bCs/>
      <w:kern w:val="2"/>
      <w:sz w:val="28"/>
      <w:szCs w:val="32"/>
    </w:rPr>
  </w:style>
  <w:style w:type="character" w:customStyle="1" w:styleId="70">
    <w:name w:val="标题 4 Char"/>
    <w:basedOn w:val="50"/>
    <w:link w:val="5"/>
    <w:qFormat/>
    <w:uiPriority w:val="0"/>
    <w:rPr>
      <w:rFonts w:ascii="Times New Roman" w:hAnsi="Times New Roman" w:eastAsia="宋体" w:cs="Times New Roman"/>
      <w:bCs/>
      <w:kern w:val="2"/>
      <w:sz w:val="24"/>
      <w:szCs w:val="28"/>
    </w:rPr>
  </w:style>
  <w:style w:type="character" w:customStyle="1" w:styleId="71">
    <w:name w:val="标题 5 Char"/>
    <w:basedOn w:val="50"/>
    <w:link w:val="6"/>
    <w:qFormat/>
    <w:uiPriority w:val="9"/>
    <w:rPr>
      <w:rFonts w:ascii="Times New Roman" w:hAnsi="Times New Roman" w:eastAsia="黑体" w:cs="Times New Roman"/>
      <w:bCs/>
      <w:kern w:val="2"/>
      <w:sz w:val="28"/>
      <w:szCs w:val="28"/>
    </w:rPr>
  </w:style>
  <w:style w:type="character" w:customStyle="1" w:styleId="72">
    <w:name w:val="标题 6 Char"/>
    <w:basedOn w:val="50"/>
    <w:link w:val="7"/>
    <w:qFormat/>
    <w:uiPriority w:val="0"/>
    <w:rPr>
      <w:rFonts w:ascii="Arial" w:hAnsi="Arial" w:eastAsia="黑体" w:cs="Times New Roman"/>
      <w:b/>
      <w:bCs/>
      <w:sz w:val="24"/>
      <w:szCs w:val="24"/>
    </w:rPr>
  </w:style>
  <w:style w:type="character" w:customStyle="1" w:styleId="73">
    <w:name w:val="标题 7 Char"/>
    <w:basedOn w:val="50"/>
    <w:link w:val="8"/>
    <w:qFormat/>
    <w:uiPriority w:val="0"/>
    <w:rPr>
      <w:rFonts w:ascii="Times New Roman" w:hAnsi="Times New Roman" w:eastAsia="宋体" w:cs="Times New Roman"/>
      <w:b/>
      <w:bCs/>
      <w:sz w:val="24"/>
      <w:szCs w:val="24"/>
    </w:rPr>
  </w:style>
  <w:style w:type="character" w:customStyle="1" w:styleId="74">
    <w:name w:val="标题 8 Char"/>
    <w:basedOn w:val="50"/>
    <w:link w:val="9"/>
    <w:qFormat/>
    <w:uiPriority w:val="0"/>
    <w:rPr>
      <w:rFonts w:ascii="Arial" w:hAnsi="Arial" w:eastAsia="黑体" w:cs="Times New Roman"/>
      <w:sz w:val="24"/>
      <w:szCs w:val="24"/>
    </w:rPr>
  </w:style>
  <w:style w:type="character" w:customStyle="1" w:styleId="75">
    <w:name w:val="标题 9 Char"/>
    <w:basedOn w:val="50"/>
    <w:link w:val="10"/>
    <w:qFormat/>
    <w:uiPriority w:val="0"/>
    <w:rPr>
      <w:rFonts w:ascii="Arial" w:hAnsi="Arial" w:eastAsia="黑体" w:cs="Times New Roman"/>
      <w:sz w:val="21"/>
      <w:szCs w:val="21"/>
    </w:rPr>
  </w:style>
  <w:style w:type="character" w:customStyle="1" w:styleId="76">
    <w:name w:val="正文文本 Char"/>
    <w:basedOn w:val="50"/>
    <w:link w:val="17"/>
    <w:qFormat/>
    <w:uiPriority w:val="99"/>
    <w:rPr>
      <w:rFonts w:ascii="Times New Roman" w:hAnsi="Times New Roman" w:eastAsia="宋体" w:cs="Times New Roman"/>
      <w:kern w:val="2"/>
      <w:sz w:val="21"/>
      <w:szCs w:val="24"/>
    </w:rPr>
  </w:style>
  <w:style w:type="character" w:customStyle="1" w:styleId="77">
    <w:name w:val="正文文本缩进 Char"/>
    <w:basedOn w:val="50"/>
    <w:link w:val="18"/>
    <w:qFormat/>
    <w:uiPriority w:val="99"/>
    <w:rPr>
      <w:rFonts w:ascii="Calibri" w:hAnsi="Calibri" w:eastAsia="宋体" w:cs="Times New Roman"/>
      <w:kern w:val="0"/>
      <w:sz w:val="24"/>
      <w:szCs w:val="24"/>
    </w:rPr>
  </w:style>
  <w:style w:type="character" w:customStyle="1" w:styleId="78">
    <w:name w:val="纯文本 Char1"/>
    <w:link w:val="23"/>
    <w:qFormat/>
    <w:uiPriority w:val="0"/>
    <w:rPr>
      <w:rFonts w:ascii="宋体" w:hAnsi="Courier New" w:eastAsia="宋体"/>
      <w:szCs w:val="20"/>
    </w:rPr>
  </w:style>
  <w:style w:type="character" w:customStyle="1" w:styleId="79">
    <w:name w:val="正文文本缩进 2 Char"/>
    <w:basedOn w:val="50"/>
    <w:link w:val="26"/>
    <w:qFormat/>
    <w:uiPriority w:val="0"/>
    <w:rPr>
      <w:rFonts w:ascii="Times New Roman" w:hAnsi="Times New Roman" w:eastAsia="宋体" w:cs="Times New Roman"/>
      <w:szCs w:val="24"/>
    </w:rPr>
  </w:style>
  <w:style w:type="character" w:customStyle="1" w:styleId="80">
    <w:name w:val="批注框文本 Char"/>
    <w:basedOn w:val="50"/>
    <w:link w:val="27"/>
    <w:qFormat/>
    <w:uiPriority w:val="0"/>
    <w:rPr>
      <w:rFonts w:ascii="Times New Roman" w:hAnsi="Times New Roman" w:eastAsia="宋体" w:cs="Times New Roman"/>
      <w:kern w:val="2"/>
      <w:sz w:val="18"/>
      <w:szCs w:val="18"/>
    </w:rPr>
  </w:style>
  <w:style w:type="character" w:customStyle="1" w:styleId="81">
    <w:name w:val="页脚 Char"/>
    <w:basedOn w:val="50"/>
    <w:link w:val="28"/>
    <w:qFormat/>
    <w:uiPriority w:val="99"/>
    <w:rPr>
      <w:sz w:val="18"/>
      <w:szCs w:val="18"/>
    </w:rPr>
  </w:style>
  <w:style w:type="character" w:customStyle="1" w:styleId="82">
    <w:name w:val="页眉 Char"/>
    <w:basedOn w:val="50"/>
    <w:link w:val="30"/>
    <w:qFormat/>
    <w:uiPriority w:val="99"/>
    <w:rPr>
      <w:sz w:val="18"/>
      <w:szCs w:val="18"/>
    </w:rPr>
  </w:style>
  <w:style w:type="character" w:customStyle="1" w:styleId="83">
    <w:name w:val="标题 Char"/>
    <w:link w:val="45"/>
    <w:qFormat/>
    <w:uiPriority w:val="10"/>
    <w:rPr>
      <w:rFonts w:ascii="Arial" w:hAnsi="Arial"/>
      <w:b/>
      <w:sz w:val="32"/>
    </w:rPr>
  </w:style>
  <w:style w:type="paragraph" w:customStyle="1" w:styleId="84">
    <w:name w:val="正文 1.1"/>
    <w:basedOn w:val="1"/>
    <w:next w:val="85"/>
    <w:qFormat/>
    <w:uiPriority w:val="99"/>
    <w:pPr>
      <w:numPr>
        <w:ilvl w:val="1"/>
        <w:numId w:val="1"/>
      </w:numPr>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85">
    <w:name w:val="正文 1.1.1"/>
    <w:basedOn w:val="1"/>
    <w:next w:val="1"/>
    <w:qFormat/>
    <w:uiPriority w:val="99"/>
    <w:pPr>
      <w:numPr>
        <w:ilvl w:val="2"/>
        <w:numId w:val="1"/>
      </w:numPr>
      <w:tabs>
        <w:tab w:val="left" w:pos="851"/>
      </w:tabs>
      <w:adjustRightInd w:val="0"/>
      <w:spacing w:line="360" w:lineRule="auto"/>
      <w:textAlignment w:val="baseline"/>
      <w:outlineLvl w:val="2"/>
    </w:pPr>
    <w:rPr>
      <w:rFonts w:ascii="宋体" w:hAnsi="宋体"/>
      <w:color w:val="FF0000"/>
      <w:kern w:val="0"/>
      <w:sz w:val="28"/>
      <w:szCs w:val="21"/>
    </w:rPr>
  </w:style>
  <w:style w:type="character" w:customStyle="1" w:styleId="86">
    <w:name w:val="font71"/>
    <w:qFormat/>
    <w:uiPriority w:val="0"/>
    <w:rPr>
      <w:rFonts w:hint="eastAsia" w:ascii="仿宋" w:hAnsi="仿宋" w:eastAsia="仿宋" w:cs="仿宋"/>
      <w:color w:val="000000"/>
      <w:kern w:val="0"/>
      <w:sz w:val="22"/>
      <w:szCs w:val="22"/>
      <w:u w:val="none"/>
      <w:lang w:eastAsia="en-US"/>
    </w:rPr>
  </w:style>
  <w:style w:type="character" w:customStyle="1" w:styleId="87">
    <w:name w:val="font61"/>
    <w:qFormat/>
    <w:uiPriority w:val="0"/>
    <w:rPr>
      <w:rFonts w:hint="default" w:ascii="Times New Roman" w:hAnsi="Times New Roman" w:cs="Times New Roman"/>
      <w:color w:val="000000"/>
      <w:kern w:val="0"/>
      <w:sz w:val="22"/>
      <w:szCs w:val="22"/>
      <w:u w:val="none"/>
      <w:lang w:eastAsia="en-US"/>
    </w:rPr>
  </w:style>
  <w:style w:type="character" w:customStyle="1" w:styleId="88">
    <w:name w:val="纯文本 字符"/>
    <w:basedOn w:val="50"/>
    <w:qFormat/>
    <w:uiPriority w:val="0"/>
    <w:rPr>
      <w:rFonts w:hAnsi="Courier New" w:cs="Courier New" w:asciiTheme="minorEastAsia"/>
      <w:szCs w:val="24"/>
    </w:rPr>
  </w:style>
  <w:style w:type="paragraph" w:customStyle="1" w:styleId="89">
    <w:name w:val="[Normal]"/>
    <w:qFormat/>
    <w:uiPriority w:val="0"/>
    <w:rPr>
      <w:rFonts w:ascii="方正仿宋简体" w:hAnsi="方正仿宋简体" w:eastAsia="方正仿宋简体" w:cs="Courier New"/>
      <w:sz w:val="24"/>
      <w:szCs w:val="22"/>
      <w:lang w:val="zh-CN" w:eastAsia="zh-CN" w:bidi="ar-SA"/>
    </w:rPr>
  </w:style>
  <w:style w:type="paragraph" w:customStyle="1" w:styleId="90">
    <w:name w:val="正文空2格  1."/>
    <w:basedOn w:val="1"/>
    <w:qFormat/>
    <w:uiPriority w:val="99"/>
    <w:pPr>
      <w:adjustRightInd w:val="0"/>
      <w:spacing w:line="360" w:lineRule="auto"/>
      <w:ind w:firstLine="480" w:firstLineChars="200"/>
      <w:textAlignment w:val="baseline"/>
    </w:pPr>
    <w:rPr>
      <w:rFonts w:ascii="宋体" w:eastAsia="仿宋" w:cs="宋体"/>
      <w:kern w:val="0"/>
      <w:sz w:val="28"/>
    </w:rPr>
  </w:style>
  <w:style w:type="paragraph" w:styleId="91">
    <w:name w:val="List Paragraph"/>
    <w:basedOn w:val="1"/>
    <w:qFormat/>
    <w:uiPriority w:val="99"/>
    <w:pPr>
      <w:ind w:firstLine="420" w:firstLineChars="200"/>
    </w:pPr>
  </w:style>
  <w:style w:type="paragraph" w:customStyle="1" w:styleId="92">
    <w:name w:val="正文_0_1"/>
    <w:qFormat/>
    <w:uiPriority w:val="0"/>
    <w:pPr>
      <w:widowControl w:val="0"/>
      <w:jc w:val="both"/>
    </w:pPr>
    <w:rPr>
      <w:rFonts w:ascii="Calibri" w:hAnsi="Calibri" w:eastAsia="微软雅黑" w:cs="Times New Roman"/>
      <w:kern w:val="2"/>
      <w:sz w:val="21"/>
      <w:szCs w:val="24"/>
      <w:lang w:val="en-US" w:eastAsia="zh-CN" w:bidi="ar-SA"/>
    </w:rPr>
  </w:style>
  <w:style w:type="character" w:customStyle="1" w:styleId="93">
    <w:name w:val="未处理的提及1"/>
    <w:basedOn w:val="50"/>
    <w:semiHidden/>
    <w:unhideWhenUsed/>
    <w:qFormat/>
    <w:uiPriority w:val="99"/>
    <w:rPr>
      <w:color w:val="605E5C"/>
      <w:shd w:val="clear" w:color="auto" w:fill="E1DFDD"/>
    </w:rPr>
  </w:style>
  <w:style w:type="character" w:customStyle="1" w:styleId="94">
    <w:name w:val="纯文本 Char"/>
    <w:qFormat/>
    <w:locked/>
    <w:uiPriority w:val="0"/>
    <w:rPr>
      <w:rFonts w:ascii="宋体" w:hAnsi="Courier New" w:eastAsia="宋体" w:cs="Courier New"/>
      <w:kern w:val="2"/>
      <w:sz w:val="21"/>
      <w:szCs w:val="21"/>
      <w:lang w:val="en-US" w:eastAsia="zh-CN" w:bidi="ar-SA"/>
    </w:rPr>
  </w:style>
  <w:style w:type="paragraph" w:customStyle="1" w:styleId="95">
    <w:name w:val="Default"/>
    <w:qFormat/>
    <w:uiPriority w:val="99"/>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96">
    <w:name w:val="标题 字符1"/>
    <w:basedOn w:val="50"/>
    <w:qFormat/>
    <w:uiPriority w:val="10"/>
    <w:rPr>
      <w:rFonts w:asciiTheme="majorHAnsi" w:hAnsiTheme="majorHAnsi" w:eastAsiaTheme="majorEastAsia" w:cstheme="majorBidi"/>
      <w:b/>
      <w:bCs/>
      <w:kern w:val="2"/>
      <w:sz w:val="32"/>
      <w:szCs w:val="32"/>
    </w:rPr>
  </w:style>
  <w:style w:type="paragraph" w:customStyle="1" w:styleId="97">
    <w:name w:val="Table Paragraph"/>
    <w:basedOn w:val="1"/>
    <w:qFormat/>
    <w:uiPriority w:val="99"/>
    <w:pPr>
      <w:autoSpaceDE w:val="0"/>
      <w:autoSpaceDN w:val="0"/>
      <w:jc w:val="left"/>
    </w:pPr>
    <w:rPr>
      <w:rFonts w:ascii="宋体" w:hAnsi="宋体" w:cs="宋体"/>
      <w:kern w:val="0"/>
      <w:sz w:val="22"/>
      <w:szCs w:val="22"/>
      <w:lang w:val="zh-CN" w:bidi="zh-CN"/>
    </w:rPr>
  </w:style>
  <w:style w:type="paragraph" w:styleId="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9">
    <w:name w:val="日期 Char"/>
    <w:basedOn w:val="50"/>
    <w:link w:val="25"/>
    <w:qFormat/>
    <w:uiPriority w:val="0"/>
    <w:rPr>
      <w:rFonts w:ascii="Times New Roman" w:hAnsi="Times New Roman" w:eastAsia="宋体" w:cs="Times New Roman"/>
      <w:kern w:val="2"/>
      <w:sz w:val="21"/>
      <w:szCs w:val="24"/>
    </w:rPr>
  </w:style>
  <w:style w:type="paragraph" w:customStyle="1" w:styleId="100">
    <w:name w:val="_Style 6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1">
    <w:name w:val="apple-converted-space"/>
    <w:qFormat/>
    <w:uiPriority w:val="0"/>
  </w:style>
  <w:style w:type="character" w:customStyle="1" w:styleId="102">
    <w:name w:val="已访问的超链接1"/>
    <w:qFormat/>
    <w:uiPriority w:val="0"/>
    <w:rPr>
      <w:color w:val="800080"/>
      <w:u w:val="single"/>
    </w:rPr>
  </w:style>
  <w:style w:type="character" w:customStyle="1" w:styleId="103">
    <w:name w:val="Variable"/>
    <w:qFormat/>
    <w:uiPriority w:val="0"/>
    <w:rPr>
      <w:i/>
    </w:rPr>
  </w:style>
  <w:style w:type="character" w:customStyle="1" w:styleId="104">
    <w:name w:val="正文文本 Char1"/>
    <w:qFormat/>
    <w:uiPriority w:val="0"/>
    <w:rPr>
      <w:kern w:val="2"/>
      <w:sz w:val="21"/>
      <w:szCs w:val="22"/>
    </w:rPr>
  </w:style>
  <w:style w:type="character" w:customStyle="1" w:styleId="105">
    <w:name w:val="Definition"/>
    <w:qFormat/>
    <w:uiPriority w:val="0"/>
    <w:rPr>
      <w:i/>
    </w:rPr>
  </w:style>
  <w:style w:type="character" w:customStyle="1" w:styleId="106">
    <w:name w:val="明显参考1"/>
    <w:qFormat/>
    <w:uiPriority w:val="0"/>
    <w:rPr>
      <w:b/>
      <w:bCs/>
      <w:smallCaps/>
      <w:color w:val="C0504D"/>
      <w:spacing w:val="5"/>
      <w:u w:val="single"/>
    </w:rPr>
  </w:style>
  <w:style w:type="character" w:customStyle="1" w:styleId="107">
    <w:name w:val="Keyboard"/>
    <w:qFormat/>
    <w:uiPriority w:val="0"/>
    <w:rPr>
      <w:rFonts w:hint="default" w:ascii="Courier New" w:hAnsi="Courier New" w:cs="Courier New"/>
      <w:b/>
      <w:sz w:val="20"/>
    </w:rPr>
  </w:style>
  <w:style w:type="character" w:customStyle="1" w:styleId="108">
    <w:name w:val="引用 Char1"/>
    <w:qFormat/>
    <w:uiPriority w:val="29"/>
    <w:rPr>
      <w:i/>
      <w:iCs/>
      <w:color w:val="404040"/>
      <w:kern w:val="2"/>
      <w:sz w:val="21"/>
      <w:szCs w:val="22"/>
    </w:rPr>
  </w:style>
  <w:style w:type="character" w:customStyle="1" w:styleId="109">
    <w:name w:val="不明显参考1"/>
    <w:qFormat/>
    <w:uiPriority w:val="0"/>
    <w:rPr>
      <w:smallCaps/>
      <w:color w:val="C0504D"/>
      <w:u w:val="single"/>
    </w:rPr>
  </w:style>
  <w:style w:type="character" w:customStyle="1" w:styleId="110">
    <w:name w:val="自2 Char"/>
    <w:link w:val="111"/>
    <w:qFormat/>
    <w:uiPriority w:val="0"/>
    <w:rPr>
      <w:rFonts w:ascii="Times New Roman" w:hAnsi="Times New Roman"/>
      <w:kern w:val="2"/>
      <w:sz w:val="24"/>
      <w:szCs w:val="24"/>
    </w:rPr>
  </w:style>
  <w:style w:type="paragraph" w:customStyle="1" w:styleId="111">
    <w:name w:val="自2"/>
    <w:basedOn w:val="1"/>
    <w:link w:val="110"/>
    <w:qFormat/>
    <w:uiPriority w:val="0"/>
    <w:pPr>
      <w:numPr>
        <w:ilvl w:val="3"/>
        <w:numId w:val="1"/>
      </w:numPr>
      <w:spacing w:line="400" w:lineRule="exact"/>
    </w:pPr>
    <w:rPr>
      <w:rFonts w:eastAsiaTheme="minorEastAsia" w:cstheme="minorBidi"/>
      <w:sz w:val="24"/>
    </w:rPr>
  </w:style>
  <w:style w:type="character" w:customStyle="1" w:styleId="112">
    <w:name w:val="apple-style-span"/>
    <w:qFormat/>
    <w:uiPriority w:val="0"/>
  </w:style>
  <w:style w:type="character" w:customStyle="1" w:styleId="113">
    <w:name w:val="标题5 Char Char"/>
    <w:link w:val="114"/>
    <w:qFormat/>
    <w:uiPriority w:val="0"/>
    <w:rPr>
      <w:rFonts w:ascii="Arial" w:hAnsi="Arial"/>
      <w:b/>
      <w:bCs/>
      <w:sz w:val="24"/>
      <w:szCs w:val="32"/>
    </w:rPr>
  </w:style>
  <w:style w:type="paragraph" w:customStyle="1" w:styleId="114">
    <w:name w:val="标题5"/>
    <w:basedOn w:val="4"/>
    <w:link w:val="113"/>
    <w:qFormat/>
    <w:uiPriority w:val="0"/>
    <w:pPr>
      <w:spacing w:after="120" w:line="413" w:lineRule="auto"/>
      <w:ind w:firstLine="200" w:firstLineChars="200"/>
    </w:pPr>
    <w:rPr>
      <w:rFonts w:ascii="Arial" w:hAnsi="Arial" w:eastAsiaTheme="minorEastAsia" w:cstheme="minorBidi"/>
      <w:b/>
      <w:kern w:val="0"/>
      <w:sz w:val="24"/>
    </w:rPr>
  </w:style>
  <w:style w:type="character" w:customStyle="1" w:styleId="115">
    <w:name w:val="style71"/>
    <w:qFormat/>
    <w:uiPriority w:val="0"/>
    <w:rPr>
      <w:sz w:val="30"/>
      <w:szCs w:val="30"/>
    </w:rPr>
  </w:style>
  <w:style w:type="character" w:customStyle="1" w:styleId="116">
    <w:name w:val="自1 Char"/>
    <w:link w:val="117"/>
    <w:qFormat/>
    <w:uiPriority w:val="0"/>
    <w:rPr>
      <w:rFonts w:ascii="Times New Roman" w:hAnsi="Times New Roman"/>
      <w:kern w:val="2"/>
      <w:sz w:val="24"/>
      <w:szCs w:val="24"/>
    </w:rPr>
  </w:style>
  <w:style w:type="paragraph" w:customStyle="1" w:styleId="117">
    <w:name w:val="自1"/>
    <w:basedOn w:val="1"/>
    <w:link w:val="116"/>
    <w:qFormat/>
    <w:uiPriority w:val="0"/>
    <w:pPr>
      <w:tabs>
        <w:tab w:val="left" w:pos="1260"/>
      </w:tabs>
      <w:spacing w:line="400" w:lineRule="exact"/>
      <w:ind w:left="1260" w:hanging="420"/>
    </w:pPr>
    <w:rPr>
      <w:rFonts w:eastAsiaTheme="minorEastAsia" w:cstheme="minorBidi"/>
      <w:sz w:val="24"/>
    </w:rPr>
  </w:style>
  <w:style w:type="character" w:customStyle="1" w:styleId="118">
    <w:name w:val="日期 Char1"/>
    <w:qFormat/>
    <w:uiPriority w:val="0"/>
    <w:rPr>
      <w:kern w:val="2"/>
      <w:sz w:val="21"/>
      <w:szCs w:val="22"/>
    </w:rPr>
  </w:style>
  <w:style w:type="character" w:customStyle="1" w:styleId="119">
    <w:name w:val="引用 Char"/>
    <w:link w:val="120"/>
    <w:qFormat/>
    <w:uiPriority w:val="0"/>
    <w:rPr>
      <w:i/>
      <w:iCs/>
      <w:color w:val="000000"/>
      <w:kern w:val="2"/>
      <w:sz w:val="21"/>
      <w:szCs w:val="22"/>
    </w:rPr>
  </w:style>
  <w:style w:type="paragraph" w:styleId="120">
    <w:name w:val="Quote"/>
    <w:basedOn w:val="1"/>
    <w:next w:val="1"/>
    <w:link w:val="119"/>
    <w:qFormat/>
    <w:uiPriority w:val="0"/>
    <w:pPr>
      <w:spacing w:line="400" w:lineRule="exact"/>
    </w:pPr>
    <w:rPr>
      <w:rFonts w:asciiTheme="minorHAnsi" w:hAnsiTheme="minorHAnsi" w:eastAsiaTheme="minorEastAsia" w:cstheme="minorBidi"/>
      <w:i/>
      <w:iCs/>
      <w:color w:val="000000"/>
      <w:szCs w:val="22"/>
    </w:rPr>
  </w:style>
  <w:style w:type="character" w:customStyle="1" w:styleId="121">
    <w:name w:val="文档结构图 Char1"/>
    <w:qFormat/>
    <w:uiPriority w:val="0"/>
    <w:rPr>
      <w:rFonts w:ascii="宋体"/>
      <w:kern w:val="2"/>
      <w:sz w:val="18"/>
      <w:szCs w:val="18"/>
    </w:rPr>
  </w:style>
  <w:style w:type="character" w:customStyle="1" w:styleId="122">
    <w:name w:val="正文文本 2 Char"/>
    <w:link w:val="42"/>
    <w:qFormat/>
    <w:uiPriority w:val="99"/>
    <w:rPr>
      <w:rFonts w:ascii="Times New Roman" w:hAnsi="Times New Roman"/>
      <w:spacing w:val="4"/>
      <w:kern w:val="2"/>
      <w:sz w:val="18"/>
    </w:rPr>
  </w:style>
  <w:style w:type="character" w:customStyle="1" w:styleId="123">
    <w:name w:val="正文文本 3 Char"/>
    <w:link w:val="16"/>
    <w:qFormat/>
    <w:uiPriority w:val="0"/>
    <w:rPr>
      <w:rFonts w:ascii="宋体" w:hAnsi="Times New Roman"/>
      <w:kern w:val="2"/>
      <w:sz w:val="24"/>
    </w:rPr>
  </w:style>
  <w:style w:type="character" w:customStyle="1" w:styleId="124">
    <w:name w:val="书籍标题1"/>
    <w:qFormat/>
    <w:uiPriority w:val="0"/>
    <w:rPr>
      <w:b/>
      <w:bCs/>
      <w:smallCaps/>
      <w:spacing w:val="5"/>
    </w:rPr>
  </w:style>
  <w:style w:type="character" w:customStyle="1" w:styleId="125">
    <w:name w:val="style61"/>
    <w:qFormat/>
    <w:uiPriority w:val="0"/>
    <w:rPr>
      <w:sz w:val="32"/>
      <w:szCs w:val="32"/>
    </w:rPr>
  </w:style>
  <w:style w:type="character" w:customStyle="1" w:styleId="126">
    <w:name w:val="CODE"/>
    <w:qFormat/>
    <w:uiPriority w:val="0"/>
    <w:rPr>
      <w:rFonts w:hint="default" w:ascii="Courier New" w:hAnsi="Courier New" w:cs="Courier New"/>
      <w:sz w:val="20"/>
    </w:rPr>
  </w:style>
  <w:style w:type="character" w:customStyle="1" w:styleId="127">
    <w:name w:val="CITE"/>
    <w:qFormat/>
    <w:uiPriority w:val="0"/>
    <w:rPr>
      <w:i/>
    </w:rPr>
  </w:style>
  <w:style w:type="character" w:customStyle="1" w:styleId="128">
    <w:name w:val="Para head"/>
    <w:qFormat/>
    <w:uiPriority w:val="0"/>
    <w:rPr>
      <w:rFonts w:hint="default" w:ascii="Arial" w:hAnsi="Arial" w:eastAsia="Times New Roman" w:cs="Arial"/>
      <w:sz w:val="20"/>
    </w:rPr>
  </w:style>
  <w:style w:type="character" w:customStyle="1" w:styleId="129">
    <w:name w:val="Sample"/>
    <w:qFormat/>
    <w:uiPriority w:val="0"/>
    <w:rPr>
      <w:rFonts w:hint="default" w:ascii="Courier New" w:hAnsi="Courier New" w:cs="Courier New"/>
    </w:rPr>
  </w:style>
  <w:style w:type="character" w:customStyle="1" w:styleId="130">
    <w:name w:val="HTML 预设格式 Char"/>
    <w:link w:val="43"/>
    <w:qFormat/>
    <w:uiPriority w:val="99"/>
    <w:rPr>
      <w:rFonts w:ascii="Courier New" w:hAnsi="Courier New" w:cs="Courier New"/>
      <w:kern w:val="2"/>
    </w:rPr>
  </w:style>
  <w:style w:type="character" w:customStyle="1" w:styleId="131">
    <w:name w:val="明显引用 Char1"/>
    <w:qFormat/>
    <w:uiPriority w:val="30"/>
    <w:rPr>
      <w:i/>
      <w:iCs/>
      <w:color w:val="5B9BD5"/>
      <w:kern w:val="2"/>
      <w:sz w:val="21"/>
      <w:szCs w:val="22"/>
    </w:rPr>
  </w:style>
  <w:style w:type="character" w:customStyle="1" w:styleId="132">
    <w:name w:val="脚注文本 Char"/>
    <w:link w:val="37"/>
    <w:qFormat/>
    <w:uiPriority w:val="0"/>
    <w:rPr>
      <w:rFonts w:ascii="Times New Roman" w:hAnsi="Times New Roman"/>
      <w:sz w:val="18"/>
    </w:rPr>
  </w:style>
  <w:style w:type="character" w:customStyle="1" w:styleId="133">
    <w:name w:val="批注主题 Char"/>
    <w:link w:val="46"/>
    <w:qFormat/>
    <w:uiPriority w:val="0"/>
    <w:rPr>
      <w:rFonts w:ascii="Times New Roman" w:hAnsi="Times New Roman"/>
      <w:b/>
      <w:bCs/>
      <w:kern w:val="2"/>
      <w:sz w:val="21"/>
      <w:szCs w:val="24"/>
    </w:rPr>
  </w:style>
  <w:style w:type="character" w:customStyle="1" w:styleId="134">
    <w:name w:val="批注文字 Char1"/>
    <w:basedOn w:val="50"/>
    <w:link w:val="15"/>
    <w:qFormat/>
    <w:uiPriority w:val="0"/>
    <w:rPr>
      <w:rFonts w:ascii="Times New Roman" w:hAnsi="Times New Roman" w:eastAsia="宋体" w:cs="Times New Roman"/>
      <w:kern w:val="2"/>
      <w:sz w:val="21"/>
      <w:szCs w:val="24"/>
    </w:rPr>
  </w:style>
  <w:style w:type="character" w:customStyle="1" w:styleId="135">
    <w:name w:val="style101"/>
    <w:qFormat/>
    <w:uiPriority w:val="0"/>
    <w:rPr>
      <w:b/>
      <w:bCs/>
      <w:color w:val="990000"/>
      <w:sz w:val="36"/>
      <w:szCs w:val="36"/>
    </w:rPr>
  </w:style>
  <w:style w:type="character" w:customStyle="1" w:styleId="136">
    <w:name w:val="Typewriter"/>
    <w:qFormat/>
    <w:uiPriority w:val="0"/>
    <w:rPr>
      <w:rFonts w:hint="default" w:ascii="Courier New" w:hAnsi="Courier New" w:cs="Courier New"/>
      <w:sz w:val="20"/>
    </w:rPr>
  </w:style>
  <w:style w:type="character" w:customStyle="1" w:styleId="137">
    <w:name w:val="批注文字 Char Char"/>
    <w:qFormat/>
    <w:uiPriority w:val="0"/>
    <w:rPr>
      <w:rFonts w:ascii="宋体" w:hAnsi="Times New Roman" w:eastAsia="宋体" w:cs="Times New Roman"/>
      <w:sz w:val="28"/>
      <w:szCs w:val="20"/>
    </w:rPr>
  </w:style>
  <w:style w:type="character" w:customStyle="1" w:styleId="138">
    <w:name w:val="HTML Markup"/>
    <w:qFormat/>
    <w:uiPriority w:val="0"/>
    <w:rPr>
      <w:vanish/>
      <w:color w:val="FF0000"/>
    </w:rPr>
  </w:style>
  <w:style w:type="character" w:customStyle="1" w:styleId="139">
    <w:name w:val="明显引用 Char"/>
    <w:link w:val="140"/>
    <w:qFormat/>
    <w:uiPriority w:val="0"/>
    <w:rPr>
      <w:b/>
      <w:bCs/>
      <w:i/>
      <w:iCs/>
      <w:color w:val="4F81BD"/>
      <w:kern w:val="2"/>
      <w:sz w:val="21"/>
      <w:szCs w:val="22"/>
    </w:rPr>
  </w:style>
  <w:style w:type="paragraph" w:styleId="140">
    <w:name w:val="Intense Quote"/>
    <w:basedOn w:val="1"/>
    <w:next w:val="1"/>
    <w:link w:val="139"/>
    <w:qFormat/>
    <w:uiPriority w:val="0"/>
    <w:pPr>
      <w:pBdr>
        <w:bottom w:val="single" w:color="4F81BD" w:sz="4" w:space="4"/>
      </w:pBdr>
      <w:spacing w:before="200" w:after="280" w:line="400" w:lineRule="exact"/>
      <w:ind w:left="936" w:right="936"/>
    </w:pPr>
    <w:rPr>
      <w:rFonts w:asciiTheme="minorHAnsi" w:hAnsiTheme="minorHAnsi" w:eastAsiaTheme="minorEastAsia" w:cstheme="minorBidi"/>
      <w:b/>
      <w:bCs/>
      <w:i/>
      <w:iCs/>
      <w:color w:val="4F81BD"/>
      <w:szCs w:val="22"/>
    </w:rPr>
  </w:style>
  <w:style w:type="character" w:customStyle="1" w:styleId="141">
    <w:name w:val="正文缩进 Char"/>
    <w:link w:val="12"/>
    <w:qFormat/>
    <w:uiPriority w:val="0"/>
    <w:rPr>
      <w:rFonts w:ascii="Times New Roman" w:hAnsi="Times New Roman"/>
      <w:kern w:val="2"/>
      <w:sz w:val="21"/>
      <w:szCs w:val="24"/>
    </w:rPr>
  </w:style>
  <w:style w:type="character" w:customStyle="1" w:styleId="142">
    <w:name w:val="Comment"/>
    <w:qFormat/>
    <w:uiPriority w:val="0"/>
    <w:rPr>
      <w:vanish/>
    </w:rPr>
  </w:style>
  <w:style w:type="character" w:customStyle="1" w:styleId="143">
    <w:name w:val="font161"/>
    <w:qFormat/>
    <w:uiPriority w:val="0"/>
    <w:rPr>
      <w:b/>
      <w:bCs/>
      <w:sz w:val="32"/>
      <w:szCs w:val="32"/>
    </w:rPr>
  </w:style>
  <w:style w:type="character" w:customStyle="1" w:styleId="144">
    <w:name w:val="副标题 Char"/>
    <w:link w:val="35"/>
    <w:qFormat/>
    <w:uiPriority w:val="0"/>
    <w:rPr>
      <w:rFonts w:ascii="Times New Roman" w:hAnsi="Times New Roman" w:eastAsia="黑体"/>
      <w:bCs/>
      <w:sz w:val="30"/>
      <w:szCs w:val="32"/>
    </w:rPr>
  </w:style>
  <w:style w:type="character" w:customStyle="1" w:styleId="145">
    <w:name w:val="文档结构图 Char"/>
    <w:link w:val="14"/>
    <w:qFormat/>
    <w:uiPriority w:val="99"/>
    <w:rPr>
      <w:rFonts w:ascii="Times New Roman" w:hAnsi="Times New Roman"/>
      <w:kern w:val="2"/>
      <w:sz w:val="21"/>
      <w:szCs w:val="24"/>
      <w:shd w:val="clear" w:color="auto" w:fill="000080"/>
    </w:rPr>
  </w:style>
  <w:style w:type="character" w:customStyle="1" w:styleId="146">
    <w:name w:val="批注主题 Char1"/>
    <w:qFormat/>
    <w:uiPriority w:val="0"/>
    <w:rPr>
      <w:b/>
      <w:bCs/>
      <w:kern w:val="2"/>
      <w:sz w:val="21"/>
      <w:szCs w:val="22"/>
    </w:rPr>
  </w:style>
  <w:style w:type="character" w:customStyle="1" w:styleId="147">
    <w:name w:val="正文文本缩进 3 Char"/>
    <w:link w:val="39"/>
    <w:qFormat/>
    <w:uiPriority w:val="0"/>
    <w:rPr>
      <w:rFonts w:ascii="Times New Roman" w:hAnsi="Times New Roman"/>
      <w:kern w:val="2"/>
      <w:sz w:val="16"/>
      <w:szCs w:val="16"/>
    </w:rPr>
  </w:style>
  <w:style w:type="character" w:customStyle="1" w:styleId="148">
    <w:name w:val="副标题 Char1"/>
    <w:qFormat/>
    <w:uiPriority w:val="11"/>
    <w:rPr>
      <w:rFonts w:ascii="Calibri Light" w:hAnsi="Calibri Light" w:cs="Times New Roman"/>
      <w:b/>
      <w:bCs/>
      <w:kern w:val="28"/>
      <w:sz w:val="32"/>
      <w:szCs w:val="32"/>
    </w:rPr>
  </w:style>
  <w:style w:type="character" w:customStyle="1" w:styleId="149">
    <w:name w:val="textcontents"/>
    <w:qFormat/>
    <w:uiPriority w:val="0"/>
  </w:style>
  <w:style w:type="character" w:customStyle="1" w:styleId="150">
    <w:name w:val="标题 1.1 Char"/>
    <w:qFormat/>
    <w:uiPriority w:val="0"/>
    <w:rPr>
      <w:rFonts w:ascii="Arial" w:hAnsi="Arial" w:eastAsia="黑体"/>
      <w:b/>
      <w:bCs/>
      <w:kern w:val="2"/>
      <w:sz w:val="32"/>
      <w:szCs w:val="32"/>
      <w:lang w:val="en-US" w:eastAsia="zh-CN" w:bidi="ar-SA"/>
    </w:rPr>
  </w:style>
  <w:style w:type="character" w:customStyle="1" w:styleId="151">
    <w:name w:val="批注框文本 Char1"/>
    <w:qFormat/>
    <w:uiPriority w:val="0"/>
    <w:rPr>
      <w:kern w:val="2"/>
      <w:sz w:val="18"/>
      <w:szCs w:val="18"/>
    </w:rPr>
  </w:style>
  <w:style w:type="character" w:customStyle="1" w:styleId="152">
    <w:name w:val="明显强调1"/>
    <w:qFormat/>
    <w:uiPriority w:val="0"/>
    <w:rPr>
      <w:b/>
      <w:bCs/>
      <w:i/>
      <w:iCs/>
      <w:color w:val="4F81BD"/>
    </w:rPr>
  </w:style>
  <w:style w:type="character" w:customStyle="1" w:styleId="153">
    <w:name w:val="标题4 Char Char"/>
    <w:link w:val="154"/>
    <w:qFormat/>
    <w:uiPriority w:val="0"/>
    <w:rPr>
      <w:rFonts w:ascii="Arial" w:hAnsi="Arial"/>
      <w:b/>
      <w:bCs/>
      <w:sz w:val="24"/>
      <w:szCs w:val="32"/>
    </w:rPr>
  </w:style>
  <w:style w:type="paragraph" w:customStyle="1" w:styleId="154">
    <w:name w:val="标题4"/>
    <w:basedOn w:val="3"/>
    <w:next w:val="20"/>
    <w:link w:val="153"/>
    <w:qFormat/>
    <w:uiPriority w:val="0"/>
    <w:pPr>
      <w:spacing w:before="60" w:after="60" w:line="413" w:lineRule="auto"/>
    </w:pPr>
    <w:rPr>
      <w:rFonts w:eastAsiaTheme="minorEastAsia" w:cstheme="minorBidi"/>
      <w:kern w:val="0"/>
      <w:sz w:val="24"/>
    </w:rPr>
  </w:style>
  <w:style w:type="character" w:customStyle="1" w:styleId="155">
    <w:name w:val="批注文字 Char"/>
    <w:qFormat/>
    <w:uiPriority w:val="0"/>
    <w:rPr>
      <w:rFonts w:ascii="Times New Roman" w:hAnsi="Times New Roman"/>
      <w:kern w:val="2"/>
      <w:sz w:val="21"/>
      <w:szCs w:val="24"/>
    </w:rPr>
  </w:style>
  <w:style w:type="character" w:customStyle="1" w:styleId="156">
    <w:name w:val="不明显强调1"/>
    <w:qFormat/>
    <w:uiPriority w:val="0"/>
    <w:rPr>
      <w:i/>
      <w:iCs/>
      <w:color w:val="808080"/>
    </w:rPr>
  </w:style>
  <w:style w:type="character" w:customStyle="1" w:styleId="157">
    <w:name w:val="批注主题 Char2"/>
    <w:basedOn w:val="134"/>
    <w:semiHidden/>
    <w:qFormat/>
    <w:uiPriority w:val="99"/>
    <w:rPr>
      <w:rFonts w:ascii="Times New Roman" w:hAnsi="Times New Roman" w:eastAsia="宋体" w:cs="Times New Roman"/>
      <w:b/>
      <w:bCs/>
      <w:kern w:val="2"/>
      <w:sz w:val="21"/>
      <w:szCs w:val="24"/>
    </w:rPr>
  </w:style>
  <w:style w:type="character" w:customStyle="1" w:styleId="158">
    <w:name w:val="HTML 预设格式 Char1"/>
    <w:basedOn w:val="50"/>
    <w:semiHidden/>
    <w:qFormat/>
    <w:uiPriority w:val="99"/>
    <w:rPr>
      <w:rFonts w:ascii="Courier New" w:hAnsi="Courier New" w:eastAsia="宋体" w:cs="Courier New"/>
      <w:kern w:val="2"/>
    </w:rPr>
  </w:style>
  <w:style w:type="character" w:customStyle="1" w:styleId="159">
    <w:name w:val="正文文本 2 Char1"/>
    <w:basedOn w:val="50"/>
    <w:semiHidden/>
    <w:qFormat/>
    <w:uiPriority w:val="99"/>
    <w:rPr>
      <w:rFonts w:ascii="Times New Roman" w:hAnsi="Times New Roman" w:eastAsia="宋体" w:cs="Times New Roman"/>
      <w:kern w:val="2"/>
      <w:sz w:val="21"/>
      <w:szCs w:val="24"/>
    </w:rPr>
  </w:style>
  <w:style w:type="character" w:customStyle="1" w:styleId="160">
    <w:name w:val="副标题 Char2"/>
    <w:basedOn w:val="50"/>
    <w:qFormat/>
    <w:uiPriority w:val="11"/>
    <w:rPr>
      <w:rFonts w:eastAsia="宋体" w:asciiTheme="majorHAnsi" w:hAnsiTheme="majorHAnsi" w:cstheme="majorBidi"/>
      <w:b/>
      <w:bCs/>
      <w:kern w:val="28"/>
      <w:sz w:val="32"/>
      <w:szCs w:val="32"/>
    </w:rPr>
  </w:style>
  <w:style w:type="character" w:customStyle="1" w:styleId="161">
    <w:name w:val="正文文本缩进 3 Char1"/>
    <w:basedOn w:val="50"/>
    <w:semiHidden/>
    <w:qFormat/>
    <w:uiPriority w:val="99"/>
    <w:rPr>
      <w:rFonts w:ascii="Times New Roman" w:hAnsi="Times New Roman" w:eastAsia="宋体" w:cs="Times New Roman"/>
      <w:kern w:val="2"/>
      <w:sz w:val="16"/>
      <w:szCs w:val="16"/>
    </w:rPr>
  </w:style>
  <w:style w:type="character" w:customStyle="1" w:styleId="162">
    <w:name w:val="文档结构图 Char2"/>
    <w:basedOn w:val="50"/>
    <w:semiHidden/>
    <w:qFormat/>
    <w:uiPriority w:val="99"/>
    <w:rPr>
      <w:rFonts w:ascii="宋体" w:hAnsi="Times New Roman" w:eastAsia="宋体" w:cs="Times New Roman"/>
      <w:kern w:val="2"/>
      <w:sz w:val="18"/>
      <w:szCs w:val="18"/>
    </w:rPr>
  </w:style>
  <w:style w:type="character" w:customStyle="1" w:styleId="163">
    <w:name w:val="脚注文本 Char1"/>
    <w:basedOn w:val="50"/>
    <w:semiHidden/>
    <w:qFormat/>
    <w:uiPriority w:val="99"/>
    <w:rPr>
      <w:rFonts w:ascii="Times New Roman" w:hAnsi="Times New Roman" w:eastAsia="宋体" w:cs="Times New Roman"/>
      <w:kern w:val="2"/>
      <w:sz w:val="18"/>
      <w:szCs w:val="18"/>
    </w:rPr>
  </w:style>
  <w:style w:type="character" w:customStyle="1" w:styleId="164">
    <w:name w:val="正文文本 3 Char1"/>
    <w:basedOn w:val="50"/>
    <w:semiHidden/>
    <w:qFormat/>
    <w:uiPriority w:val="99"/>
    <w:rPr>
      <w:rFonts w:ascii="Times New Roman" w:hAnsi="Times New Roman" w:eastAsia="宋体" w:cs="Times New Roman"/>
      <w:kern w:val="2"/>
      <w:sz w:val="16"/>
      <w:szCs w:val="16"/>
    </w:rPr>
  </w:style>
  <w:style w:type="paragraph" w:customStyle="1" w:styleId="165">
    <w:name w:val="xl68"/>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jc w:val="center"/>
    </w:pPr>
    <w:rPr>
      <w:kern w:val="0"/>
      <w:sz w:val="24"/>
    </w:rPr>
  </w:style>
  <w:style w:type="paragraph" w:customStyle="1" w:styleId="166">
    <w:name w:val="TOC 标题1"/>
    <w:basedOn w:val="2"/>
    <w:next w:val="1"/>
    <w:qFormat/>
    <w:uiPriority w:val="0"/>
    <w:pPr>
      <w:widowControl/>
      <w:spacing w:before="480" w:after="0" w:line="276" w:lineRule="auto"/>
      <w:jc w:val="left"/>
      <w:outlineLvl w:val="9"/>
    </w:pPr>
    <w:rPr>
      <w:rFonts w:ascii="Cambria" w:hAnsi="Cambria"/>
      <w:b w:val="0"/>
      <w:color w:val="365F91"/>
      <w:kern w:val="0"/>
      <w:sz w:val="30"/>
      <w:szCs w:val="28"/>
    </w:rPr>
  </w:style>
  <w:style w:type="paragraph" w:customStyle="1" w:styleId="167">
    <w:name w:val="_Style 8"/>
    <w:basedOn w:val="1"/>
    <w:qFormat/>
    <w:uiPriority w:val="0"/>
    <w:pPr>
      <w:widowControl/>
      <w:spacing w:line="400" w:lineRule="exact"/>
      <w:jc w:val="left"/>
    </w:pPr>
    <w:rPr>
      <w:kern w:val="0"/>
      <w:sz w:val="20"/>
      <w:szCs w:val="20"/>
    </w:rPr>
  </w:style>
  <w:style w:type="paragraph" w:customStyle="1" w:styleId="168">
    <w:name w:val="H3"/>
    <w:basedOn w:val="1"/>
    <w:next w:val="1"/>
    <w:qFormat/>
    <w:uiPriority w:val="99"/>
    <w:pPr>
      <w:keepNext/>
      <w:autoSpaceDE w:val="0"/>
      <w:autoSpaceDN w:val="0"/>
      <w:adjustRightInd w:val="0"/>
      <w:spacing w:before="100" w:after="100" w:line="400" w:lineRule="exact"/>
      <w:jc w:val="left"/>
      <w:outlineLvl w:val="3"/>
    </w:pPr>
    <w:rPr>
      <w:b/>
      <w:kern w:val="0"/>
      <w:sz w:val="28"/>
      <w:szCs w:val="20"/>
    </w:rPr>
  </w:style>
  <w:style w:type="paragraph" w:customStyle="1" w:styleId="169">
    <w:name w:val="表格文字"/>
    <w:basedOn w:val="1"/>
    <w:qFormat/>
    <w:uiPriority w:val="0"/>
    <w:pPr>
      <w:adjustRightInd w:val="0"/>
      <w:spacing w:line="420" w:lineRule="atLeast"/>
      <w:jc w:val="left"/>
      <w:textAlignment w:val="baseline"/>
    </w:pPr>
    <w:rPr>
      <w:kern w:val="0"/>
      <w:sz w:val="24"/>
      <w:szCs w:val="20"/>
    </w:rPr>
  </w:style>
  <w:style w:type="paragraph" w:customStyle="1" w:styleId="170">
    <w:name w:val="aa"/>
    <w:basedOn w:val="1"/>
    <w:qFormat/>
    <w:uiPriority w:val="0"/>
    <w:pPr>
      <w:widowControl/>
      <w:spacing w:before="100" w:beforeAutospacing="1" w:after="100" w:afterAutospacing="1" w:line="400" w:lineRule="exact"/>
      <w:jc w:val="left"/>
    </w:pPr>
    <w:rPr>
      <w:rFonts w:ascii="宋体" w:hAnsi="宋体" w:cs="宋体"/>
      <w:kern w:val="0"/>
      <w:sz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400" w:lineRule="exact"/>
      <w:jc w:val="left"/>
    </w:pPr>
    <w:rPr>
      <w:rFonts w:ascii="Courier New" w:hAnsi="Courier New"/>
      <w:kern w:val="0"/>
      <w:sz w:val="20"/>
      <w:szCs w:val="20"/>
    </w:rPr>
  </w:style>
  <w:style w:type="paragraph" w:customStyle="1" w:styleId="172">
    <w:name w:val="Blockquote"/>
    <w:basedOn w:val="1"/>
    <w:qFormat/>
    <w:uiPriority w:val="0"/>
    <w:pPr>
      <w:autoSpaceDE w:val="0"/>
      <w:autoSpaceDN w:val="0"/>
      <w:adjustRightInd w:val="0"/>
      <w:spacing w:before="100" w:after="100" w:line="400" w:lineRule="exact"/>
      <w:ind w:left="360" w:right="360"/>
      <w:jc w:val="left"/>
    </w:pPr>
    <w:rPr>
      <w:kern w:val="0"/>
      <w:sz w:val="24"/>
      <w:szCs w:val="20"/>
    </w:rPr>
  </w:style>
  <w:style w:type="paragraph" w:customStyle="1" w:styleId="173">
    <w:name w:val="样式 标题 1 + 黑体 三号 非加粗 居中 段前: 6 磅 段后: 6 磅 行距: 固定值 20 磅"/>
    <w:basedOn w:val="2"/>
    <w:qFormat/>
    <w:uiPriority w:val="0"/>
    <w:pPr>
      <w:spacing w:before="120" w:after="120" w:line="400" w:lineRule="exact"/>
    </w:pPr>
    <w:rPr>
      <w:rFonts w:ascii="黑体" w:hAnsi="黑体" w:eastAsia="黑体" w:cs="宋体"/>
      <w:bCs w:val="0"/>
      <w:kern w:val="28"/>
      <w:sz w:val="32"/>
      <w:szCs w:val="20"/>
    </w:rPr>
  </w:style>
  <w:style w:type="paragraph" w:customStyle="1" w:styleId="174">
    <w:name w:val="目录"/>
    <w:basedOn w:val="1"/>
    <w:qFormat/>
    <w:uiPriority w:val="99"/>
    <w:pPr>
      <w:widowControl/>
      <w:spacing w:line="400" w:lineRule="exact"/>
      <w:jc w:val="center"/>
    </w:pPr>
    <w:rPr>
      <w:rFonts w:ascii="宋体"/>
      <w:b/>
      <w:kern w:val="0"/>
      <w:sz w:val="36"/>
      <w:szCs w:val="20"/>
    </w:rPr>
  </w:style>
  <w:style w:type="paragraph" w:customStyle="1" w:styleId="175">
    <w:name w:val="菲页1"/>
    <w:basedOn w:val="3"/>
    <w:qFormat/>
    <w:uiPriority w:val="99"/>
    <w:pPr>
      <w:keepNext w:val="0"/>
      <w:widowControl/>
      <w:tabs>
        <w:tab w:val="left" w:pos="840"/>
      </w:tabs>
      <w:ind w:left="840" w:hanging="420"/>
    </w:pPr>
    <w:rPr>
      <w:rFonts w:ascii="黑体" w:hAnsi="宋体"/>
      <w:b w:val="0"/>
      <w:bCs w:val="0"/>
      <w:kern w:val="0"/>
      <w:sz w:val="52"/>
      <w:szCs w:val="20"/>
    </w:rPr>
  </w:style>
  <w:style w:type="paragraph" w:customStyle="1" w:styleId="17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77">
    <w:name w:val="H1"/>
    <w:basedOn w:val="1"/>
    <w:next w:val="1"/>
    <w:qFormat/>
    <w:uiPriority w:val="99"/>
    <w:pPr>
      <w:keepNext/>
      <w:autoSpaceDE w:val="0"/>
      <w:autoSpaceDN w:val="0"/>
      <w:adjustRightInd w:val="0"/>
      <w:spacing w:before="100" w:after="100" w:line="400" w:lineRule="exact"/>
      <w:jc w:val="left"/>
      <w:outlineLvl w:val="1"/>
    </w:pPr>
    <w:rPr>
      <w:b/>
      <w:kern w:val="36"/>
      <w:sz w:val="48"/>
      <w:szCs w:val="20"/>
    </w:rPr>
  </w:style>
  <w:style w:type="paragraph" w:customStyle="1" w:styleId="178">
    <w:name w:val="菲页(卷)"/>
    <w:basedOn w:val="2"/>
    <w:next w:val="66"/>
    <w:qFormat/>
    <w:uiPriority w:val="99"/>
    <w:pPr>
      <w:keepLines w:val="0"/>
      <w:widowControl/>
      <w:numPr>
        <w:ilvl w:val="0"/>
        <w:numId w:val="2"/>
      </w:numPr>
      <w:tabs>
        <w:tab w:val="left" w:pos="1460"/>
      </w:tabs>
      <w:spacing w:before="120" w:after="0" w:line="240" w:lineRule="auto"/>
      <w:outlineLvl w:val="1"/>
    </w:pPr>
    <w:rPr>
      <w:rFonts w:ascii="黑体" w:eastAsia="黑体"/>
      <w:b w:val="0"/>
      <w:bCs w:val="0"/>
      <w:kern w:val="0"/>
      <w:sz w:val="52"/>
      <w:szCs w:val="20"/>
    </w:r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spacing w:val="20"/>
      <w:kern w:val="28"/>
      <w:sz w:val="24"/>
      <w:szCs w:val="20"/>
    </w:rPr>
  </w:style>
  <w:style w:type="paragraph" w:customStyle="1" w:styleId="180">
    <w:name w:val="Char"/>
    <w:basedOn w:val="1"/>
    <w:qFormat/>
    <w:uiPriority w:val="0"/>
    <w:pPr>
      <w:spacing w:line="400" w:lineRule="exact"/>
    </w:pPr>
    <w:rPr>
      <w:rFonts w:ascii="Tahoma" w:hAnsi="Tahoma"/>
      <w:sz w:val="24"/>
      <w:szCs w:val="20"/>
    </w:rPr>
  </w:style>
  <w:style w:type="paragraph" w:customStyle="1" w:styleId="181">
    <w:name w:val="样式 标题 3 + (中文) 黑体 小四 非加粗 段前: 7.8 磅 段后: 0 磅 行距: 固定值 20 磅"/>
    <w:basedOn w:val="4"/>
    <w:qFormat/>
    <w:uiPriority w:val="0"/>
    <w:rPr>
      <w:rFonts w:cs="宋体"/>
      <w:b/>
      <w:bCs w:val="0"/>
      <w:szCs w:val="20"/>
    </w:rPr>
  </w:style>
  <w:style w:type="paragraph" w:customStyle="1" w:styleId="182">
    <w:name w:val="H6"/>
    <w:basedOn w:val="1"/>
    <w:next w:val="1"/>
    <w:qFormat/>
    <w:uiPriority w:val="99"/>
    <w:pPr>
      <w:keepNext/>
      <w:autoSpaceDE w:val="0"/>
      <w:autoSpaceDN w:val="0"/>
      <w:adjustRightInd w:val="0"/>
      <w:spacing w:before="100" w:after="100" w:line="400" w:lineRule="exact"/>
      <w:jc w:val="left"/>
      <w:outlineLvl w:val="6"/>
    </w:pPr>
    <w:rPr>
      <w:b/>
      <w:kern w:val="0"/>
      <w:sz w:val="16"/>
      <w:szCs w:val="20"/>
    </w:rPr>
  </w:style>
  <w:style w:type="paragraph" w:customStyle="1" w:styleId="183">
    <w:name w:val="默认段落字体 Para Char Char Char Char Char Char Char Char Char1 Char Char Char Char Char Char Char"/>
    <w:basedOn w:val="14"/>
    <w:qFormat/>
    <w:uiPriority w:val="0"/>
    <w:rPr>
      <w:rFonts w:ascii="Tahoma" w:hAnsi="Tahoma"/>
    </w:rPr>
  </w:style>
  <w:style w:type="paragraph" w:customStyle="1" w:styleId="184">
    <w:name w:val="样式1"/>
    <w:basedOn w:val="1"/>
    <w:qFormat/>
    <w:uiPriority w:val="0"/>
    <w:pPr>
      <w:spacing w:before="120" w:after="120" w:line="300" w:lineRule="auto"/>
    </w:pPr>
    <w:rPr>
      <w:rFonts w:ascii="宋体" w:hAnsi="宋体"/>
      <w:b/>
      <w:sz w:val="24"/>
      <w:szCs w:val="20"/>
    </w:rPr>
  </w:style>
  <w:style w:type="paragraph" w:customStyle="1" w:styleId="185">
    <w:name w:val="H5"/>
    <w:basedOn w:val="1"/>
    <w:next w:val="1"/>
    <w:qFormat/>
    <w:uiPriority w:val="99"/>
    <w:pPr>
      <w:keepNext/>
      <w:autoSpaceDE w:val="0"/>
      <w:autoSpaceDN w:val="0"/>
      <w:adjustRightInd w:val="0"/>
      <w:spacing w:before="100" w:after="100" w:line="400" w:lineRule="exact"/>
      <w:jc w:val="left"/>
      <w:outlineLvl w:val="5"/>
    </w:pPr>
    <w:rPr>
      <w:b/>
      <w:kern w:val="0"/>
      <w:sz w:val="20"/>
      <w:szCs w:val="20"/>
    </w:rPr>
  </w:style>
  <w:style w:type="character" w:customStyle="1" w:styleId="186">
    <w:name w:val="引用 Char2"/>
    <w:basedOn w:val="50"/>
    <w:semiHidden/>
    <w:qFormat/>
    <w:uiPriority w:val="99"/>
    <w:rPr>
      <w:rFonts w:ascii="Times New Roman" w:hAnsi="Times New Roman" w:eastAsia="宋体" w:cs="Times New Roman"/>
      <w:i/>
      <w:iCs/>
      <w:color w:val="000000" w:themeColor="text1"/>
      <w:kern w:val="2"/>
      <w:sz w:val="21"/>
      <w:szCs w:val="24"/>
      <w14:textFill>
        <w14:solidFill>
          <w14:schemeClr w14:val="tx1"/>
        </w14:solidFill>
      </w14:textFill>
    </w:rPr>
  </w:style>
  <w:style w:type="paragraph" w:customStyle="1" w:styleId="187">
    <w:name w:val="Char Char1 Char Char Char"/>
    <w:basedOn w:val="1"/>
    <w:qFormat/>
    <w:uiPriority w:val="99"/>
    <w:pPr>
      <w:spacing w:line="400" w:lineRule="exact"/>
    </w:pPr>
    <w:rPr>
      <w:kern w:val="0"/>
      <w:sz w:val="20"/>
      <w:szCs w:val="20"/>
    </w:rPr>
  </w:style>
  <w:style w:type="paragraph" w:customStyle="1" w:styleId="188">
    <w:name w:val="z-Bottom of Form"/>
    <w:next w:val="1"/>
    <w:qFormat/>
    <w:uiPriority w:val="99"/>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89">
    <w:name w:val="表格"/>
    <w:basedOn w:val="1"/>
    <w:qFormat/>
    <w:uiPriority w:val="0"/>
    <w:pPr>
      <w:spacing w:line="400" w:lineRule="exact"/>
      <w:jc w:val="center"/>
      <w:textAlignment w:val="center"/>
    </w:pPr>
    <w:rPr>
      <w:rFonts w:ascii="华文细黑" w:hAnsi="华文细黑"/>
      <w:kern w:val="0"/>
      <w:sz w:val="24"/>
      <w:szCs w:val="20"/>
    </w:rPr>
  </w:style>
  <w:style w:type="paragraph" w:customStyle="1" w:styleId="190">
    <w:name w:val="H4"/>
    <w:basedOn w:val="1"/>
    <w:next w:val="1"/>
    <w:qFormat/>
    <w:uiPriority w:val="99"/>
    <w:pPr>
      <w:keepNext/>
      <w:autoSpaceDE w:val="0"/>
      <w:autoSpaceDN w:val="0"/>
      <w:adjustRightInd w:val="0"/>
      <w:spacing w:before="100" w:after="100" w:line="400" w:lineRule="exact"/>
      <w:jc w:val="left"/>
      <w:outlineLvl w:val="4"/>
    </w:pPr>
    <w:rPr>
      <w:b/>
      <w:kern w:val="0"/>
      <w:sz w:val="24"/>
      <w:szCs w:val="20"/>
    </w:rPr>
  </w:style>
  <w:style w:type="paragraph" w:customStyle="1" w:styleId="191">
    <w:name w:val="修订1"/>
    <w:qFormat/>
    <w:uiPriority w:val="0"/>
    <w:rPr>
      <w:rFonts w:ascii="Times New Roman" w:hAnsi="Times New Roman" w:eastAsia="宋体" w:cs="Times New Roman"/>
      <w:kern w:val="2"/>
      <w:sz w:val="21"/>
      <w:szCs w:val="24"/>
      <w:lang w:val="en-US" w:eastAsia="zh-CN" w:bidi="ar-SA"/>
    </w:rPr>
  </w:style>
  <w:style w:type="paragraph" w:customStyle="1" w:styleId="192">
    <w:name w:val="菲页2"/>
    <w:basedOn w:val="4"/>
    <w:qFormat/>
    <w:uiPriority w:val="99"/>
    <w:pPr>
      <w:widowControl/>
      <w:tabs>
        <w:tab w:val="left" w:pos="1460"/>
      </w:tabs>
      <w:spacing w:after="120" w:line="360" w:lineRule="auto"/>
      <w:ind w:left="1460" w:hanging="900"/>
      <w:jc w:val="center"/>
    </w:pPr>
    <w:rPr>
      <w:rFonts w:ascii="黑体" w:hAnsi="宋体"/>
      <w:bCs w:val="0"/>
      <w:kern w:val="0"/>
      <w:sz w:val="44"/>
      <w:szCs w:val="20"/>
    </w:rPr>
  </w:style>
  <w:style w:type="paragraph" w:customStyle="1" w:styleId="19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94">
    <w:name w:val="1"/>
    <w:basedOn w:val="1"/>
    <w:qFormat/>
    <w:uiPriority w:val="0"/>
    <w:pPr>
      <w:spacing w:line="400" w:lineRule="exact"/>
    </w:pPr>
    <w:rPr>
      <w:sz w:val="24"/>
    </w:rPr>
  </w:style>
  <w:style w:type="paragraph" w:customStyle="1" w:styleId="195">
    <w:name w:val="目录文字"/>
    <w:basedOn w:val="1"/>
    <w:qFormat/>
    <w:uiPriority w:val="99"/>
    <w:pPr>
      <w:widowControl/>
      <w:spacing w:line="480" w:lineRule="auto"/>
      <w:jc w:val="left"/>
    </w:pPr>
    <w:rPr>
      <w:rFonts w:ascii="宋体" w:hAnsi="宋体"/>
      <w:kern w:val="0"/>
      <w:sz w:val="24"/>
      <w:szCs w:val="20"/>
    </w:rPr>
  </w:style>
  <w:style w:type="paragraph" w:customStyle="1" w:styleId="196">
    <w:name w:val="z-Top of Form"/>
    <w:next w:val="1"/>
    <w:qFormat/>
    <w:uiPriority w:val="99"/>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97">
    <w:name w:val="Address"/>
    <w:basedOn w:val="1"/>
    <w:next w:val="1"/>
    <w:qFormat/>
    <w:uiPriority w:val="99"/>
    <w:pPr>
      <w:autoSpaceDE w:val="0"/>
      <w:autoSpaceDN w:val="0"/>
      <w:adjustRightInd w:val="0"/>
      <w:spacing w:line="400" w:lineRule="exact"/>
      <w:jc w:val="left"/>
    </w:pPr>
    <w:rPr>
      <w:i/>
      <w:kern w:val="0"/>
      <w:sz w:val="24"/>
      <w:szCs w:val="20"/>
    </w:rPr>
  </w:style>
  <w:style w:type="paragraph" w:customStyle="1" w:styleId="198">
    <w:name w:val="Definition Term"/>
    <w:basedOn w:val="1"/>
    <w:next w:val="199"/>
    <w:qFormat/>
    <w:uiPriority w:val="99"/>
    <w:pPr>
      <w:autoSpaceDE w:val="0"/>
      <w:autoSpaceDN w:val="0"/>
      <w:adjustRightInd w:val="0"/>
      <w:spacing w:line="400" w:lineRule="exact"/>
      <w:jc w:val="left"/>
    </w:pPr>
    <w:rPr>
      <w:kern w:val="0"/>
      <w:sz w:val="24"/>
      <w:szCs w:val="20"/>
    </w:rPr>
  </w:style>
  <w:style w:type="paragraph" w:customStyle="1" w:styleId="199">
    <w:name w:val="Definition List"/>
    <w:basedOn w:val="1"/>
    <w:next w:val="198"/>
    <w:qFormat/>
    <w:uiPriority w:val="0"/>
    <w:pPr>
      <w:autoSpaceDE w:val="0"/>
      <w:autoSpaceDN w:val="0"/>
      <w:adjustRightInd w:val="0"/>
      <w:spacing w:line="400" w:lineRule="exact"/>
      <w:ind w:left="360"/>
      <w:jc w:val="left"/>
    </w:pPr>
    <w:rPr>
      <w:kern w:val="0"/>
      <w:sz w:val="24"/>
      <w:szCs w:val="20"/>
    </w:rPr>
  </w:style>
  <w:style w:type="paragraph" w:customStyle="1" w:styleId="200">
    <w:name w:val="样式 标题 2 + Times New Roman 四号 非加粗 段前: 5 磅 段后: 0 磅 行距: 固定值 20..."/>
    <w:basedOn w:val="3"/>
    <w:qFormat/>
    <w:uiPriority w:val="0"/>
    <w:pPr>
      <w:keepNext w:val="0"/>
      <w:tabs>
        <w:tab w:val="left" w:pos="840"/>
      </w:tabs>
      <w:spacing w:before="100" w:after="0" w:line="400" w:lineRule="exact"/>
      <w:ind w:left="840" w:hanging="420"/>
    </w:pPr>
    <w:rPr>
      <w:rFonts w:ascii="Times New Roman" w:hAnsi="Times New Roman" w:cs="宋体"/>
      <w:bCs w:val="0"/>
      <w:sz w:val="28"/>
      <w:szCs w:val="20"/>
    </w:rPr>
  </w:style>
  <w:style w:type="paragraph" w:customStyle="1" w:styleId="201">
    <w:name w:val="H2"/>
    <w:basedOn w:val="1"/>
    <w:next w:val="1"/>
    <w:qFormat/>
    <w:uiPriority w:val="99"/>
    <w:pPr>
      <w:keepNext/>
      <w:autoSpaceDE w:val="0"/>
      <w:autoSpaceDN w:val="0"/>
      <w:adjustRightInd w:val="0"/>
      <w:spacing w:before="100" w:after="100" w:line="400" w:lineRule="exact"/>
      <w:jc w:val="left"/>
      <w:outlineLvl w:val="2"/>
    </w:pPr>
    <w:rPr>
      <w:b/>
      <w:kern w:val="0"/>
      <w:sz w:val="36"/>
      <w:szCs w:val="20"/>
    </w:rPr>
  </w:style>
  <w:style w:type="paragraph" w:customStyle="1" w:styleId="202">
    <w:name w:val="Char Char3 Char Char"/>
    <w:basedOn w:val="3"/>
    <w:next w:val="1"/>
    <w:qFormat/>
    <w:uiPriority w:val="0"/>
    <w:pPr>
      <w:keepNext w:val="0"/>
      <w:tabs>
        <w:tab w:val="left" w:pos="840"/>
      </w:tabs>
      <w:snapToGrid w:val="0"/>
      <w:spacing w:before="120" w:after="120" w:line="240" w:lineRule="auto"/>
      <w:ind w:left="840" w:hanging="420"/>
      <w:jc w:val="left"/>
    </w:pPr>
    <w:rPr>
      <w:bCs w:val="0"/>
      <w:szCs w:val="20"/>
    </w:rPr>
  </w:style>
  <w:style w:type="character" w:customStyle="1" w:styleId="203">
    <w:name w:val="明显引用 Char2"/>
    <w:basedOn w:val="50"/>
    <w:semiHidden/>
    <w:qFormat/>
    <w:uiPriority w:val="99"/>
    <w:rPr>
      <w:rFonts w:ascii="Times New Roman" w:hAnsi="Times New Roman" w:eastAsia="宋体" w:cs="Times New Roman"/>
      <w:b/>
      <w:bCs/>
      <w:i/>
      <w:iCs/>
      <w:color w:val="4472C4" w:themeColor="accent1"/>
      <w:kern w:val="2"/>
      <w:sz w:val="21"/>
      <w:szCs w:val="24"/>
      <w14:textFill>
        <w14:solidFill>
          <w14:schemeClr w14:val="accent1"/>
        </w14:solidFill>
      </w14:textFill>
    </w:rPr>
  </w:style>
  <w:style w:type="paragraph" w:customStyle="1" w:styleId="204">
    <w:name w:val="Char Char Char"/>
    <w:basedOn w:val="1"/>
    <w:qFormat/>
    <w:uiPriority w:val="0"/>
    <w:pPr>
      <w:adjustRightInd w:val="0"/>
      <w:spacing w:line="360" w:lineRule="auto"/>
    </w:pPr>
    <w:rPr>
      <w:kern w:val="0"/>
      <w:sz w:val="20"/>
      <w:szCs w:val="20"/>
    </w:rPr>
  </w:style>
  <w:style w:type="table" w:customStyle="1" w:styleId="205">
    <w:name w:val="网格型3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6">
    <w:name w:val="网格型6"/>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7">
    <w:name w:val="网格型11"/>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8">
    <w:name w:val="网格型5"/>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9">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0">
    <w:name w:val="网格型2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1">
    <w:name w:val="网格型7"/>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2">
    <w:name w:val="网格型1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3">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4">
    <w:name w:val="网格型1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5">
    <w:name w:val="网格型2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6">
    <w:name w:val="网格型1"/>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17">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8">
    <w:name w:val="网格型3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9">
    <w:name w:val="网格型4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0">
    <w:name w:val="网格型4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标题 4_0"/>
    <w:basedOn w:val="221"/>
    <w:next w:val="221"/>
    <w:link w:val="225"/>
    <w:qFormat/>
    <w:uiPriority w:val="0"/>
    <w:pPr>
      <w:keepNext/>
      <w:keepLines/>
      <w:spacing w:before="280" w:after="290" w:line="372" w:lineRule="auto"/>
      <w:outlineLvl w:val="3"/>
    </w:pPr>
    <w:rPr>
      <w:rFonts w:ascii="Cambria" w:hAnsi="Cambria"/>
      <w:b/>
      <w:bCs/>
      <w:sz w:val="28"/>
      <w:szCs w:val="28"/>
    </w:rPr>
  </w:style>
  <w:style w:type="character" w:customStyle="1" w:styleId="225">
    <w:name w:val="标题 4 Char_0"/>
    <w:link w:val="224"/>
    <w:qFormat/>
    <w:uiPriority w:val="0"/>
    <w:rPr>
      <w:rFonts w:ascii="Cambria" w:hAnsi="Cambria" w:eastAsia="宋体" w:cs="Times New Roman"/>
      <w:b/>
      <w:bCs/>
      <w:kern w:val="2"/>
      <w:sz w:val="28"/>
      <w:szCs w:val="28"/>
    </w:rPr>
  </w:style>
  <w:style w:type="paragraph" w:customStyle="1" w:styleId="226">
    <w:name w:val="正文文本_0"/>
    <w:basedOn w:val="221"/>
    <w:link w:val="227"/>
    <w:qFormat/>
    <w:uiPriority w:val="0"/>
    <w:pPr>
      <w:spacing w:line="400" w:lineRule="exact"/>
    </w:pPr>
    <w:rPr>
      <w:rFonts w:ascii="仿宋_GB2312" w:eastAsia="仿宋_GB2312"/>
      <w:sz w:val="24"/>
    </w:rPr>
  </w:style>
  <w:style w:type="character" w:customStyle="1" w:styleId="227">
    <w:name w:val="正文文本 Char_0"/>
    <w:link w:val="226"/>
    <w:qFormat/>
    <w:uiPriority w:val="0"/>
    <w:rPr>
      <w:rFonts w:ascii="仿宋_GB2312" w:hAnsi="Times New Roman" w:eastAsia="仿宋_GB2312" w:cs="Times New Roman"/>
      <w:kern w:val="2"/>
      <w:sz w:val="24"/>
      <w:szCs w:val="24"/>
    </w:rPr>
  </w:style>
  <w:style w:type="paragraph" w:customStyle="1" w:styleId="22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9">
    <w:name w:val="标题 1_0"/>
    <w:basedOn w:val="228"/>
    <w:next w:val="228"/>
    <w:link w:val="230"/>
    <w:qFormat/>
    <w:uiPriority w:val="0"/>
    <w:pPr>
      <w:keepNext/>
      <w:keepLines/>
      <w:spacing w:before="340" w:after="330" w:line="578" w:lineRule="auto"/>
      <w:outlineLvl w:val="0"/>
    </w:pPr>
    <w:rPr>
      <w:rFonts w:ascii="Times New Roman" w:hAnsi="Times New Roman"/>
      <w:b/>
      <w:bCs/>
      <w:kern w:val="44"/>
      <w:sz w:val="44"/>
      <w:szCs w:val="44"/>
    </w:rPr>
  </w:style>
  <w:style w:type="character" w:customStyle="1" w:styleId="230">
    <w:name w:val="标题 1 Char_0"/>
    <w:link w:val="229"/>
    <w:qFormat/>
    <w:uiPriority w:val="0"/>
    <w:rPr>
      <w:rFonts w:ascii="Times New Roman" w:hAnsi="Times New Roman" w:eastAsia="宋体" w:cs="Times New Roman"/>
      <w:b/>
      <w:bCs/>
      <w:kern w:val="44"/>
      <w:sz w:val="44"/>
      <w:szCs w:val="44"/>
    </w:rPr>
  </w:style>
  <w:style w:type="paragraph" w:customStyle="1" w:styleId="231">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32">
    <w:name w:val="Char Char6"/>
    <w:qFormat/>
    <w:uiPriority w:val="0"/>
    <w:rPr>
      <w:rFonts w:eastAsia="宋体"/>
      <w:b/>
      <w:bCs/>
      <w:kern w:val="44"/>
      <w:sz w:val="32"/>
      <w:szCs w:val="44"/>
      <w:lang w:val="en-US" w:eastAsia="zh-CN" w:bidi="ar-SA"/>
    </w:rPr>
  </w:style>
  <w:style w:type="character" w:customStyle="1" w:styleId="233">
    <w:name w:val="Heading 3 Char"/>
    <w:qFormat/>
    <w:uiPriority w:val="0"/>
    <w:rPr>
      <w:rFonts w:cs="Times New Roman"/>
      <w:b/>
      <w:bCs/>
      <w:kern w:val="2"/>
      <w:sz w:val="32"/>
      <w:szCs w:val="32"/>
    </w:rPr>
  </w:style>
  <w:style w:type="character" w:customStyle="1" w:styleId="234">
    <w:name w:val="标题 Char1"/>
    <w:qFormat/>
    <w:uiPriority w:val="10"/>
    <w:rPr>
      <w:rFonts w:ascii="Cambria" w:hAnsi="Cambria" w:eastAsia="宋体" w:cs="Times New Roman"/>
      <w:b/>
      <w:bCs/>
      <w:sz w:val="32"/>
      <w:szCs w:val="32"/>
    </w:rPr>
  </w:style>
  <w:style w:type="character" w:customStyle="1" w:styleId="235">
    <w:name w:val="Heading 2 Char"/>
    <w:qFormat/>
    <w:uiPriority w:val="0"/>
    <w:rPr>
      <w:rFonts w:ascii="Arial" w:hAnsi="Arial" w:eastAsia="黑体"/>
      <w:b/>
      <w:bCs/>
      <w:kern w:val="2"/>
      <w:sz w:val="32"/>
      <w:szCs w:val="32"/>
      <w:lang w:val="en-US" w:eastAsia="zh-CN" w:bidi="ar-SA"/>
    </w:rPr>
  </w:style>
  <w:style w:type="character" w:customStyle="1" w:styleId="236">
    <w:name w:val="Title Char"/>
    <w:qFormat/>
    <w:uiPriority w:val="0"/>
    <w:rPr>
      <w:rFonts w:ascii="Cambria" w:hAnsi="Cambria"/>
      <w:b/>
      <w:sz w:val="32"/>
      <w:lang w:bidi="ar-SA"/>
    </w:rPr>
  </w:style>
  <w:style w:type="character" w:customStyle="1" w:styleId="237">
    <w:name w:val="Heading 5 Char"/>
    <w:qFormat/>
    <w:uiPriority w:val="0"/>
    <w:rPr>
      <w:rFonts w:eastAsia="宋体"/>
      <w:b/>
      <w:bCs/>
      <w:kern w:val="2"/>
      <w:sz w:val="28"/>
      <w:szCs w:val="28"/>
      <w:lang w:val="en-US" w:eastAsia="zh-CN" w:bidi="ar-SA"/>
    </w:rPr>
  </w:style>
  <w:style w:type="character" w:customStyle="1" w:styleId="238">
    <w:name w:val="Footnote Text Char"/>
    <w:qFormat/>
    <w:uiPriority w:val="0"/>
    <w:rPr>
      <w:rFonts w:eastAsia="宋体"/>
      <w:sz w:val="18"/>
      <w:lang w:val="en-US" w:eastAsia="zh-CN" w:bidi="ar-SA"/>
    </w:rPr>
  </w:style>
  <w:style w:type="character" w:customStyle="1" w:styleId="239">
    <w:name w:val="Balloon Text Char"/>
    <w:qFormat/>
    <w:uiPriority w:val="0"/>
    <w:rPr>
      <w:sz w:val="18"/>
      <w:lang w:bidi="ar-SA"/>
    </w:rPr>
  </w:style>
  <w:style w:type="character" w:customStyle="1" w:styleId="240">
    <w:name w:val="Date Char"/>
    <w:qFormat/>
    <w:uiPriority w:val="0"/>
    <w:rPr>
      <w:rFonts w:eastAsia="宋体"/>
      <w:kern w:val="2"/>
      <w:sz w:val="21"/>
      <w:szCs w:val="24"/>
      <w:lang w:val="en-US" w:eastAsia="zh-CN" w:bidi="ar-SA"/>
    </w:rPr>
  </w:style>
  <w:style w:type="character" w:customStyle="1" w:styleId="241">
    <w:name w:val="标题 3 Char1"/>
    <w:qFormat/>
    <w:uiPriority w:val="0"/>
    <w:rPr>
      <w:rFonts w:ascii="Calibri" w:hAnsi="Calibri" w:eastAsia="宋体" w:cs="Arial"/>
      <w:b/>
      <w:kern w:val="0"/>
      <w:sz w:val="32"/>
      <w:szCs w:val="20"/>
    </w:rPr>
  </w:style>
  <w:style w:type="character" w:customStyle="1" w:styleId="242">
    <w:name w:val="Heading 1 Char"/>
    <w:qFormat/>
    <w:uiPriority w:val="0"/>
    <w:rPr>
      <w:rFonts w:eastAsia="宋体"/>
      <w:b/>
      <w:bCs/>
      <w:kern w:val="44"/>
      <w:sz w:val="32"/>
      <w:szCs w:val="44"/>
      <w:lang w:val="en-US" w:eastAsia="zh-CN" w:bidi="ar-SA"/>
    </w:rPr>
  </w:style>
  <w:style w:type="character" w:customStyle="1" w:styleId="243">
    <w:name w:val="Body Text Indent 2 Char"/>
    <w:qFormat/>
    <w:uiPriority w:val="0"/>
    <w:rPr>
      <w:rFonts w:eastAsia="宋体"/>
      <w:kern w:val="2"/>
      <w:sz w:val="21"/>
      <w:szCs w:val="24"/>
      <w:lang w:val="en-US" w:eastAsia="zh-CN" w:bidi="ar-SA"/>
    </w:rPr>
  </w:style>
  <w:style w:type="character" w:customStyle="1" w:styleId="244">
    <w:name w:val="标题 Char2"/>
    <w:qFormat/>
    <w:uiPriority w:val="0"/>
    <w:rPr>
      <w:rFonts w:ascii="Cambria" w:hAnsi="Cambria" w:eastAsia="宋体" w:cs="Times New Roman"/>
      <w:b/>
      <w:bCs/>
      <w:sz w:val="32"/>
      <w:szCs w:val="32"/>
    </w:rPr>
  </w:style>
  <w:style w:type="character" w:customStyle="1" w:styleId="245">
    <w:name w:val="Char Char91"/>
    <w:qFormat/>
    <w:uiPriority w:val="0"/>
    <w:rPr>
      <w:rFonts w:eastAsia="宋体"/>
      <w:b/>
      <w:bCs/>
      <w:kern w:val="44"/>
      <w:sz w:val="32"/>
      <w:szCs w:val="44"/>
      <w:lang w:val="en-US" w:eastAsia="zh-CN" w:bidi="ar-SA"/>
    </w:rPr>
  </w:style>
  <w:style w:type="character" w:customStyle="1" w:styleId="246">
    <w:name w:val="Char Char19"/>
    <w:qFormat/>
    <w:uiPriority w:val="0"/>
    <w:rPr>
      <w:rFonts w:ascii="Arial" w:hAnsi="Arial" w:eastAsia="宋体" w:cs="Times New Roman"/>
      <w:b/>
      <w:bCs/>
      <w:szCs w:val="28"/>
    </w:rPr>
  </w:style>
  <w:style w:type="character" w:customStyle="1" w:styleId="247">
    <w:name w:val="Footer Char"/>
    <w:qFormat/>
    <w:uiPriority w:val="0"/>
    <w:rPr>
      <w:rFonts w:eastAsia="宋体"/>
      <w:kern w:val="2"/>
      <w:sz w:val="18"/>
      <w:szCs w:val="18"/>
      <w:lang w:val="en-US" w:eastAsia="zh-CN" w:bidi="ar-SA"/>
    </w:rPr>
  </w:style>
  <w:style w:type="character" w:customStyle="1" w:styleId="248">
    <w:name w:val="Header Char"/>
    <w:qFormat/>
    <w:uiPriority w:val="0"/>
    <w:rPr>
      <w:rFonts w:eastAsia="宋体"/>
      <w:kern w:val="2"/>
      <w:sz w:val="18"/>
      <w:szCs w:val="18"/>
      <w:lang w:val="en-US" w:eastAsia="zh-CN" w:bidi="ar-SA"/>
    </w:rPr>
  </w:style>
  <w:style w:type="character" w:customStyle="1" w:styleId="249">
    <w:name w:val="Body Text Indent Char"/>
    <w:qFormat/>
    <w:uiPriority w:val="0"/>
    <w:rPr>
      <w:rFonts w:ascii="宋体" w:hAnsi="宋体" w:eastAsia="宋体"/>
      <w:kern w:val="2"/>
      <w:sz w:val="21"/>
      <w:lang w:val="en-US" w:eastAsia="zh-CN" w:bidi="ar-SA"/>
    </w:rPr>
  </w:style>
  <w:style w:type="character" w:customStyle="1" w:styleId="250">
    <w:name w:val="Char Char24"/>
    <w:qFormat/>
    <w:uiPriority w:val="0"/>
    <w:rPr>
      <w:rFonts w:eastAsia="宋体"/>
      <w:b/>
      <w:bCs/>
      <w:kern w:val="44"/>
      <w:sz w:val="32"/>
      <w:szCs w:val="44"/>
      <w:lang w:val="en-US" w:eastAsia="zh-CN" w:bidi="ar-SA"/>
    </w:rPr>
  </w:style>
  <w:style w:type="character" w:customStyle="1" w:styleId="251">
    <w:name w:val="Char Char23"/>
    <w:qFormat/>
    <w:uiPriority w:val="0"/>
    <w:rPr>
      <w:rFonts w:eastAsia="宋体"/>
      <w:b/>
      <w:bCs/>
      <w:kern w:val="44"/>
      <w:sz w:val="32"/>
      <w:szCs w:val="44"/>
      <w:lang w:val="en-US" w:eastAsia="zh-CN" w:bidi="ar-SA"/>
    </w:rPr>
  </w:style>
  <w:style w:type="character" w:customStyle="1" w:styleId="252">
    <w:name w:val="Comment Text Char"/>
    <w:qFormat/>
    <w:uiPriority w:val="0"/>
    <w:rPr>
      <w:rFonts w:cs="Times New Roman"/>
      <w:sz w:val="24"/>
      <w:szCs w:val="24"/>
    </w:rPr>
  </w:style>
  <w:style w:type="character" w:customStyle="1" w:styleId="253">
    <w:name w:val="Char Char20"/>
    <w:qFormat/>
    <w:uiPriority w:val="0"/>
    <w:rPr>
      <w:rFonts w:ascii="Times New Roman" w:hAnsi="Times New Roman" w:eastAsia="宋体" w:cs="Times New Roman"/>
      <w:b/>
      <w:bCs/>
      <w:sz w:val="24"/>
      <w:szCs w:val="32"/>
    </w:rPr>
  </w:style>
  <w:style w:type="character" w:customStyle="1" w:styleId="254">
    <w:name w:val="Char Char22"/>
    <w:qFormat/>
    <w:uiPriority w:val="0"/>
    <w:rPr>
      <w:rFonts w:ascii="Times New Roman" w:hAnsi="Times New Roman" w:eastAsia="宋体" w:cs="Times New Roman"/>
      <w:b/>
      <w:bCs/>
      <w:kern w:val="44"/>
      <w:sz w:val="32"/>
      <w:szCs w:val="44"/>
    </w:rPr>
  </w:style>
  <w:style w:type="character" w:customStyle="1" w:styleId="255">
    <w:name w:val="标题 1 Char1"/>
    <w:qFormat/>
    <w:uiPriority w:val="0"/>
    <w:rPr>
      <w:rFonts w:ascii="Calibri" w:hAnsi="Calibri" w:eastAsia="宋体" w:cs="Arial"/>
      <w:b/>
      <w:kern w:val="44"/>
      <w:sz w:val="44"/>
      <w:szCs w:val="20"/>
    </w:rPr>
  </w:style>
  <w:style w:type="character" w:customStyle="1" w:styleId="256">
    <w:name w:val="Document Map Char"/>
    <w:qFormat/>
    <w:uiPriority w:val="0"/>
    <w:rPr>
      <w:rFonts w:eastAsia="宋体"/>
      <w:kern w:val="2"/>
      <w:sz w:val="21"/>
      <w:szCs w:val="24"/>
      <w:lang w:val="en-US" w:eastAsia="zh-CN" w:bidi="ar-SA"/>
    </w:rPr>
  </w:style>
  <w:style w:type="character" w:customStyle="1" w:styleId="257">
    <w:name w:val="Char Char9"/>
    <w:qFormat/>
    <w:uiPriority w:val="0"/>
    <w:rPr>
      <w:rFonts w:eastAsia="宋体"/>
      <w:b/>
      <w:bCs/>
      <w:kern w:val="44"/>
      <w:sz w:val="32"/>
      <w:szCs w:val="44"/>
      <w:lang w:val="en-US" w:eastAsia="zh-CN" w:bidi="ar-SA"/>
    </w:rPr>
  </w:style>
  <w:style w:type="character" w:customStyle="1" w:styleId="258">
    <w:name w:val="ewb-weather"/>
    <w:basedOn w:val="50"/>
    <w:qFormat/>
    <w:uiPriority w:val="0"/>
  </w:style>
  <w:style w:type="character" w:customStyle="1" w:styleId="259">
    <w:name w:val="超链接_0"/>
    <w:qFormat/>
    <w:uiPriority w:val="99"/>
    <w:rPr>
      <w:rFonts w:ascii="Calibri" w:hAnsi="Calibri" w:cs="Times New Roman"/>
      <w:color w:val="0000FF"/>
      <w:u w:val="single"/>
    </w:rPr>
  </w:style>
  <w:style w:type="character" w:customStyle="1" w:styleId="260">
    <w:name w:val="Char Char21"/>
    <w:qFormat/>
    <w:uiPriority w:val="0"/>
    <w:rPr>
      <w:rFonts w:ascii="Arial" w:hAnsi="Arial" w:eastAsia="黑体" w:cs="Times New Roman"/>
      <w:b/>
      <w:bCs/>
      <w:sz w:val="32"/>
      <w:szCs w:val="32"/>
    </w:rPr>
  </w:style>
  <w:style w:type="character" w:customStyle="1" w:styleId="261">
    <w:name w:val="样式 Char"/>
    <w:link w:val="262"/>
    <w:qFormat/>
    <w:locked/>
    <w:uiPriority w:val="0"/>
    <w:rPr>
      <w:rFonts w:ascii="宋体" w:hAnsi="宋体" w:cs="宋体"/>
      <w:sz w:val="24"/>
      <w:szCs w:val="24"/>
    </w:rPr>
  </w:style>
  <w:style w:type="paragraph" w:customStyle="1" w:styleId="262">
    <w:name w:val="样式"/>
    <w:link w:val="261"/>
    <w:qFormat/>
    <w:uiPriority w:val="0"/>
    <w:pPr>
      <w:widowControl w:val="0"/>
      <w:autoSpaceDE w:val="0"/>
      <w:autoSpaceDN w:val="0"/>
      <w:adjustRightInd w:val="0"/>
    </w:pPr>
    <w:rPr>
      <w:rFonts w:ascii="宋体" w:hAnsi="宋体" w:cs="宋体" w:eastAsiaTheme="minorEastAsia"/>
      <w:sz w:val="24"/>
      <w:szCs w:val="24"/>
      <w:lang w:val="en-US" w:eastAsia="zh-CN" w:bidi="ar-SA"/>
    </w:rPr>
  </w:style>
  <w:style w:type="character" w:customStyle="1" w:styleId="263">
    <w:name w:val="Char Char18"/>
    <w:qFormat/>
    <w:uiPriority w:val="0"/>
    <w:rPr>
      <w:rFonts w:ascii="Times New Roman" w:hAnsi="Times New Roman" w:eastAsia="宋体" w:cs="Times New Roman"/>
      <w:b/>
      <w:bCs/>
      <w:sz w:val="28"/>
      <w:szCs w:val="28"/>
    </w:rPr>
  </w:style>
  <w:style w:type="character" w:customStyle="1" w:styleId="264">
    <w:name w:val="Char Char181"/>
    <w:qFormat/>
    <w:uiPriority w:val="0"/>
    <w:rPr>
      <w:b/>
      <w:bCs/>
      <w:kern w:val="44"/>
      <w:sz w:val="44"/>
      <w:szCs w:val="44"/>
    </w:rPr>
  </w:style>
  <w:style w:type="character" w:customStyle="1" w:styleId="265">
    <w:name w:val="批注文字 Char2"/>
    <w:qFormat/>
    <w:uiPriority w:val="0"/>
    <w:rPr>
      <w:rFonts w:eastAsia="宋体"/>
      <w:kern w:val="2"/>
      <w:sz w:val="21"/>
      <w:szCs w:val="24"/>
      <w:lang w:val="en-US" w:eastAsia="zh-CN" w:bidi="ar-SA"/>
    </w:rPr>
  </w:style>
  <w:style w:type="character" w:customStyle="1" w:styleId="266">
    <w:name w:val="Plain Text Char"/>
    <w:qFormat/>
    <w:uiPriority w:val="0"/>
    <w:rPr>
      <w:rFonts w:ascii="宋体" w:hAnsi="Courier New" w:eastAsia="宋体"/>
      <w:sz w:val="24"/>
      <w:lang w:bidi="ar-SA"/>
    </w:rPr>
  </w:style>
  <w:style w:type="character" w:customStyle="1" w:styleId="267">
    <w:name w:val="Heading 4 Char"/>
    <w:qFormat/>
    <w:uiPriority w:val="0"/>
    <w:rPr>
      <w:rFonts w:ascii="Arial" w:hAnsi="Arial" w:eastAsia="宋体"/>
      <w:b/>
      <w:bCs/>
      <w:kern w:val="2"/>
      <w:sz w:val="21"/>
      <w:szCs w:val="28"/>
      <w:lang w:val="en-US" w:eastAsia="zh-CN" w:bidi="ar-SA"/>
    </w:rPr>
  </w:style>
  <w:style w:type="character" w:customStyle="1" w:styleId="268">
    <w:name w:val="Heading 3 Char1"/>
    <w:qFormat/>
    <w:uiPriority w:val="0"/>
    <w:rPr>
      <w:rFonts w:eastAsia="宋体"/>
      <w:b/>
      <w:bCs/>
      <w:kern w:val="2"/>
      <w:sz w:val="24"/>
      <w:szCs w:val="32"/>
      <w:lang w:val="en-US" w:eastAsia="zh-CN" w:bidi="ar-SA"/>
    </w:rPr>
  </w:style>
  <w:style w:type="character" w:customStyle="1" w:styleId="269">
    <w:name w:val="Comment Text Char1"/>
    <w:qFormat/>
    <w:uiPriority w:val="0"/>
    <w:rPr>
      <w:sz w:val="24"/>
      <w:lang w:bidi="ar-SA"/>
    </w:rPr>
  </w:style>
  <w:style w:type="character" w:customStyle="1" w:styleId="270">
    <w:name w:val="Comment Subject Char"/>
    <w:qFormat/>
    <w:uiPriority w:val="0"/>
    <w:rPr>
      <w:b/>
      <w:sz w:val="24"/>
      <w:lang w:bidi="ar-SA"/>
    </w:rPr>
  </w:style>
  <w:style w:type="paragraph" w:customStyle="1" w:styleId="271">
    <w:name w:val="Char Char Char Char"/>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272">
    <w:name w:val="Char1"/>
    <w:basedOn w:val="1"/>
    <w:qFormat/>
    <w:uiPriority w:val="0"/>
    <w:pPr>
      <w:widowControl/>
      <w:spacing w:after="160" w:line="240" w:lineRule="exact"/>
      <w:jc w:val="left"/>
    </w:pPr>
  </w:style>
  <w:style w:type="paragraph" w:customStyle="1" w:styleId="27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图题、表题"/>
    <w:basedOn w:val="1"/>
    <w:next w:val="1"/>
    <w:qFormat/>
    <w:uiPriority w:val="0"/>
    <w:pPr>
      <w:jc w:val="center"/>
    </w:pPr>
    <w:rPr>
      <w:rFonts w:ascii="黑体" w:hAnsi="宋体" w:eastAsia="黑体"/>
    </w:rPr>
  </w:style>
  <w:style w:type="paragraph" w:customStyle="1" w:styleId="275">
    <w:name w:val="正文缩进_0"/>
    <w:basedOn w:val="222"/>
    <w:qFormat/>
    <w:uiPriority w:val="0"/>
    <w:pPr>
      <w:ind w:firstLine="420"/>
    </w:pPr>
    <w:rPr>
      <w:rFonts w:ascii="Times New Roman" w:hAnsi="Times New Roman"/>
      <w:u w:val="single"/>
    </w:rPr>
  </w:style>
  <w:style w:type="paragraph" w:customStyle="1" w:styleId="276">
    <w:name w:val="列出段落1"/>
    <w:basedOn w:val="1"/>
    <w:qFormat/>
    <w:uiPriority w:val="0"/>
    <w:pPr>
      <w:ind w:firstLine="420" w:firstLineChars="200"/>
    </w:pPr>
    <w:rPr>
      <w:rFonts w:ascii="Calibri" w:hAnsi="Calibri"/>
      <w:szCs w:val="22"/>
    </w:rPr>
  </w:style>
  <w:style w:type="paragraph" w:customStyle="1" w:styleId="27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278">
    <w:name w:val="标题 3_0"/>
    <w:basedOn w:val="221"/>
    <w:next w:val="221"/>
    <w:qFormat/>
    <w:uiPriority w:val="0"/>
    <w:pPr>
      <w:keepNext/>
      <w:keepLines/>
      <w:spacing w:before="260" w:after="260" w:line="413" w:lineRule="auto"/>
      <w:outlineLvl w:val="2"/>
    </w:pPr>
    <w:rPr>
      <w:b/>
      <w:bCs/>
      <w:sz w:val="32"/>
      <w:szCs w:val="32"/>
    </w:rPr>
  </w:style>
  <w:style w:type="paragraph" w:customStyle="1" w:styleId="279">
    <w:name w:val="p0"/>
    <w:basedOn w:val="1"/>
    <w:qFormat/>
    <w:uiPriority w:val="99"/>
    <w:pPr>
      <w:widowControl/>
    </w:pPr>
    <w:rPr>
      <w:rFonts w:ascii="Calibri" w:hAnsi="Calibri" w:cs="宋体"/>
      <w:kern w:val="0"/>
      <w:szCs w:val="21"/>
    </w:rPr>
  </w:style>
  <w:style w:type="paragraph" w:customStyle="1" w:styleId="280">
    <w:name w:val="TOC 标题_0"/>
    <w:basedOn w:val="229"/>
    <w:next w:val="221"/>
    <w:qFormat/>
    <w:uiPriority w:val="0"/>
    <w:pPr>
      <w:spacing w:line="576" w:lineRule="auto"/>
      <w:outlineLvl w:val="9"/>
    </w:pPr>
    <w:rPr>
      <w:rFonts w:ascii="Calibri" w:hAnsi="Calibri"/>
    </w:rPr>
  </w:style>
  <w:style w:type="paragraph" w:customStyle="1" w:styleId="281">
    <w:name w:val="标题_0"/>
    <w:basedOn w:val="222"/>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282">
    <w:name w:val="_Style 6"/>
    <w:basedOn w:val="2"/>
    <w:next w:val="1"/>
    <w:qFormat/>
    <w:uiPriority w:val="0"/>
    <w:pPr>
      <w:spacing w:before="0" w:after="0" w:line="576" w:lineRule="auto"/>
      <w:jc w:val="center"/>
      <w:outlineLvl w:val="9"/>
    </w:pPr>
    <w:rPr>
      <w:rFonts w:ascii="Calibri" w:hAnsi="Calibri"/>
    </w:rPr>
  </w:style>
  <w:style w:type="paragraph" w:customStyle="1" w:styleId="283">
    <w:name w:val="Char Char Char Char Char Char Char"/>
    <w:basedOn w:val="1"/>
    <w:qFormat/>
    <w:uiPriority w:val="0"/>
    <w:pPr>
      <w:widowControl/>
      <w:spacing w:after="160" w:line="240" w:lineRule="exact"/>
      <w:jc w:val="left"/>
    </w:pPr>
  </w:style>
  <w:style w:type="paragraph" w:customStyle="1" w:styleId="284">
    <w:name w:val="_Style 37"/>
    <w:basedOn w:val="1"/>
    <w:next w:val="1"/>
    <w:qFormat/>
    <w:uiPriority w:val="0"/>
  </w:style>
  <w:style w:type="paragraph" w:customStyle="1" w:styleId="285">
    <w:name w:val="样式6"/>
    <w:basedOn w:val="1"/>
    <w:qFormat/>
    <w:uiPriority w:val="0"/>
    <w:rPr>
      <w:rFonts w:ascii="Calibri" w:hAnsi="Calibri"/>
      <w:szCs w:val="22"/>
    </w:rPr>
  </w:style>
  <w:style w:type="paragraph" w:customStyle="1" w:styleId="286">
    <w:name w:val="2-2ji"/>
    <w:basedOn w:val="3"/>
    <w:qFormat/>
    <w:uiPriority w:val="0"/>
    <w:pPr>
      <w:spacing w:before="0" w:after="0" w:line="360" w:lineRule="auto"/>
      <w:jc w:val="center"/>
    </w:pPr>
    <w:rPr>
      <w:rFonts w:ascii="宋体" w:hAnsi="宋体" w:eastAsia="宋体"/>
      <w:sz w:val="36"/>
      <w:szCs w:val="24"/>
    </w:rPr>
  </w:style>
  <w:style w:type="character" w:customStyle="1" w:styleId="287">
    <w:name w:val="NormalCharacter"/>
    <w:semiHidden/>
    <w:qFormat/>
    <w:uiPriority w:val="0"/>
  </w:style>
  <w:style w:type="character" w:customStyle="1" w:styleId="288">
    <w:name w:val="正文首行缩进 2 Char"/>
    <w:basedOn w:val="77"/>
    <w:link w:val="47"/>
    <w:qFormat/>
    <w:uiPriority w:val="0"/>
    <w:rPr>
      <w:rFonts w:ascii="Times New Roman" w:hAnsi="Times New Roman" w:eastAsia="宋体" w:cs="Times New Roman"/>
      <w:kern w:val="2"/>
      <w:sz w:val="21"/>
      <w:szCs w:val="24"/>
    </w:rPr>
  </w:style>
  <w:style w:type="character" w:customStyle="1" w:styleId="289">
    <w:name w:val="font21"/>
    <w:basedOn w:val="50"/>
    <w:qFormat/>
    <w:uiPriority w:val="0"/>
    <w:rPr>
      <w:rFonts w:hint="eastAsia" w:ascii="宋体" w:hAnsi="宋体" w:eastAsia="宋体" w:cs="宋体"/>
      <w:color w:val="000000"/>
      <w:sz w:val="22"/>
      <w:szCs w:val="22"/>
      <w:u w:val="none"/>
    </w:rPr>
  </w:style>
  <w:style w:type="character" w:customStyle="1" w:styleId="290">
    <w:name w:val="font11"/>
    <w:qFormat/>
    <w:uiPriority w:val="0"/>
    <w:rPr>
      <w:rFonts w:hint="eastAsia" w:ascii="宋体" w:hAnsi="宋体" w:eastAsia="宋体" w:cs="宋体"/>
      <w:color w:val="000000"/>
      <w:sz w:val="24"/>
      <w:szCs w:val="24"/>
      <w:u w:val="none"/>
    </w:rPr>
  </w:style>
  <w:style w:type="paragraph" w:customStyle="1" w:styleId="291">
    <w:name w:val="ÕýÎÄ"/>
    <w:qFormat/>
    <w:uiPriority w:val="0"/>
    <w:pPr>
      <w:tabs>
        <w:tab w:val="left" w:pos="630"/>
      </w:tabs>
      <w:overflowPunct w:val="0"/>
      <w:autoSpaceDE w:val="0"/>
      <w:autoSpaceDN w:val="0"/>
      <w:adjustRightInd w:val="0"/>
      <w:spacing w:line="360" w:lineRule="atLeast"/>
      <w:jc w:val="both"/>
      <w:textAlignment w:val="baseline"/>
    </w:pPr>
    <w:rPr>
      <w:rFonts w:ascii="Times New Roman" w:hAnsi="Times New Roman" w:eastAsia="宋体" w:cs="Times New Roman"/>
      <w:sz w:val="22"/>
      <w:lang w:val="en-US" w:eastAsia="zh-CN" w:bidi="ar-SA"/>
    </w:rPr>
  </w:style>
  <w:style w:type="paragraph" w:customStyle="1" w:styleId="292">
    <w:name w:val="正文_0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正文_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4">
    <w:name w:val="标题 2_0"/>
    <w:basedOn w:val="221"/>
    <w:next w:val="221"/>
    <w:unhideWhenUsed/>
    <w:qFormat/>
    <w:uiPriority w:val="0"/>
    <w:pPr>
      <w:keepNext/>
      <w:keepLines/>
      <w:spacing w:before="260" w:after="260" w:line="410" w:lineRule="auto"/>
      <w:jc w:val="center"/>
      <w:outlineLvl w:val="1"/>
    </w:pPr>
    <w:rPr>
      <w:rFonts w:ascii="Arial" w:hAnsi="Arial" w:eastAsia="黑体"/>
      <w:b/>
      <w:bCs/>
      <w:kern w:val="0"/>
      <w:sz w:val="32"/>
      <w:szCs w:val="32"/>
    </w:rPr>
  </w:style>
  <w:style w:type="paragraph" w:customStyle="1" w:styleId="295">
    <w:name w:val="Normal1_0"/>
    <w:qFormat/>
    <w:uiPriority w:val="0"/>
    <w:pPr>
      <w:widowControl w:val="0"/>
      <w:jc w:val="both"/>
    </w:pPr>
    <w:rPr>
      <w:rFonts w:ascii="Calibri" w:hAnsi="Calibri" w:eastAsia="宋体" w:cs="Calibri"/>
      <w:color w:val="000000"/>
      <w:kern w:val="1"/>
      <w:sz w:val="21"/>
      <w:szCs w:val="22"/>
      <w:lang w:val="en-US" w:eastAsia="zh-CN" w:bidi="ar-SA"/>
    </w:rPr>
  </w:style>
  <w:style w:type="paragraph" w:customStyle="1" w:styleId="296">
    <w:name w:val="正文文本缩进 2_0"/>
    <w:basedOn w:val="221"/>
    <w:unhideWhenUsed/>
    <w:qFormat/>
    <w:uiPriority w:val="0"/>
    <w:pPr>
      <w:spacing w:line="540" w:lineRule="exact"/>
      <w:ind w:firstLine="225" w:firstLineChars="225"/>
      <w:jc w:val="left"/>
    </w:pPr>
    <w:rPr>
      <w:rFonts w:ascii="仿宋_GB2312" w:hAnsi="Calibri" w:eastAsia="仿宋_GB2312"/>
      <w:kern w:val="0"/>
      <w:sz w:val="32"/>
      <w:szCs w:val="22"/>
    </w:rPr>
  </w:style>
  <w:style w:type="paragraph" w:customStyle="1" w:styleId="297">
    <w:name w:val="Body text|1"/>
    <w:basedOn w:val="1"/>
    <w:qFormat/>
    <w:uiPriority w:val="0"/>
    <w:pPr>
      <w:spacing w:line="442" w:lineRule="auto"/>
      <w:ind w:firstLine="400"/>
      <w:jc w:val="left"/>
    </w:pPr>
    <w:rPr>
      <w:rFonts w:ascii="宋体" w:hAnsi="宋体" w:cs="宋体"/>
      <w:color w:val="000000"/>
      <w:kern w:val="0"/>
      <w:sz w:val="26"/>
      <w:szCs w:val="26"/>
      <w:lang w:val="zh-TW" w:eastAsia="zh-TW" w:bidi="zh-TW"/>
    </w:rPr>
  </w:style>
  <w:style w:type="paragraph" w:customStyle="1" w:styleId="298">
    <w:name w:val="纯文本1"/>
    <w:basedOn w:val="1"/>
    <w:qFormat/>
    <w:uiPriority w:val="0"/>
    <w:rPr>
      <w:rFonts w:ascii="宋体" w:hAnsi="Courier New"/>
      <w:szCs w:val="20"/>
    </w:rPr>
  </w:style>
  <w:style w:type="paragraph" w:customStyle="1" w:styleId="299">
    <w:name w:val="二级目录"/>
    <w:next w:val="1"/>
    <w:qFormat/>
    <w:uiPriority w:val="0"/>
    <w:pPr>
      <w:tabs>
        <w:tab w:val="left" w:pos="720"/>
      </w:tabs>
      <w:ind w:left="720" w:hanging="720"/>
      <w:outlineLvl w:val="1"/>
    </w:pPr>
    <w:rPr>
      <w:rFonts w:ascii="Times New Roman" w:hAnsi="Times New Roman" w:eastAsia="宋体" w:cs="Times New Roman"/>
      <w:b/>
      <w:sz w:val="30"/>
      <w:szCs w:val="28"/>
      <w:lang w:val="en-US" w:eastAsia="zh-CN" w:bidi="ar-SA"/>
    </w:rPr>
  </w:style>
  <w:style w:type="paragraph" w:customStyle="1" w:styleId="30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0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3A405C-D648-4145-9660-B2265F65565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35</Pages>
  <Words>17866</Words>
  <Characters>18914</Characters>
  <Lines>197</Lines>
  <Paragraphs>55</Paragraphs>
  <TotalTime>34</TotalTime>
  <ScaleCrop>false</ScaleCrop>
  <LinksUpToDate>false</LinksUpToDate>
  <CharactersWithSpaces>19928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2022-04-13T07:35:00Z</dcterms:created>
  <dc:creator>LL</dc:creator>
  <cp:lastModifiedBy>Administrator</cp:lastModifiedBy>
  <cp:lastPrinted>2025-12-11T03:59:00Z</cp:lastPrinted>
  <dcterms:modified xsi:type="dcterms:W3CDTF">2026-10-10T03:34:25Z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7FD944DA52214CA9B90897131550F181_13</vt:lpwstr>
  </property>
  <property fmtid="{D5CDD505-2E9C-101B-9397-08002B2CF9AE}" pid="4" name="KSOTemplateDocerSaveRecord">
    <vt:lpwstr>eyJoZGlkIjoiZDZmNDk4NzBhNjAwYWFmYzJmNTZmMGU4N2Y4OGQ2Y2EiLCJ1c2VySWQiOiIxODYxMzg1OTU0In0=</vt:lpwstr>
  </property>
</Properties>
</file>