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299354">
      <w:pPr>
        <w:pStyle w:val="49"/>
        <w:keepNext w:val="0"/>
        <w:keepLines w:val="0"/>
        <w:pageBreakBefore w:val="0"/>
        <w:wordWrap/>
        <w:overflowPunct/>
        <w:topLinePunct w:val="0"/>
        <w:bidi w:val="0"/>
        <w:adjustRightInd w:val="0"/>
        <w:snapToGrid w:val="0"/>
        <w:spacing w:line="360" w:lineRule="auto"/>
        <w:rPr>
          <w:rFonts w:hint="default" w:ascii="Times New Roman" w:hAnsi="Times New Roman" w:eastAsia="方正仿宋_GB2312" w:cs="Times New Roman"/>
          <w:color w:val="000000" w:themeColor="text1"/>
          <w:lang w:eastAsia="zh-CN"/>
          <w14:textFill>
            <w14:solidFill>
              <w14:schemeClr w14:val="tx1"/>
            </w14:solidFill>
          </w14:textFill>
        </w:rPr>
      </w:pPr>
      <w:r>
        <w:rPr>
          <w:rFonts w:hint="default" w:ascii="Times New Roman" w:hAnsi="Times New Roman" w:eastAsia="方正仿宋_GB2312" w:cs="Times New Roman"/>
          <w:bCs/>
          <w:color w:val="000000" w:themeColor="text1"/>
          <w:kern w:val="2"/>
          <w:lang w:eastAsia="zh-CN"/>
          <w14:textFill>
            <w14:solidFill>
              <w14:schemeClr w14:val="tx1"/>
            </w14:solidFill>
          </w14:textFill>
        </w:rPr>
        <w:drawing>
          <wp:anchor distT="0" distB="0" distL="114300" distR="114300" simplePos="0" relativeHeight="251661312" behindDoc="0" locked="0" layoutInCell="1" allowOverlap="1">
            <wp:simplePos x="0" y="0"/>
            <wp:positionH relativeFrom="column">
              <wp:posOffset>-451485</wp:posOffset>
            </wp:positionH>
            <wp:positionV relativeFrom="paragraph">
              <wp:posOffset>-480695</wp:posOffset>
            </wp:positionV>
            <wp:extent cx="3361690" cy="467995"/>
            <wp:effectExtent l="0" t="0" r="10160" b="8255"/>
            <wp:wrapNone/>
            <wp:docPr id="6" name="图片 6" descr="202602061105582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026020611055823693"/>
                    <pic:cNvPicPr>
                      <a:picLocks noChangeAspect="1"/>
                    </pic:cNvPicPr>
                  </pic:nvPicPr>
                  <pic:blipFill>
                    <a:blip r:embed="rId25"/>
                    <a:stretch>
                      <a:fillRect/>
                    </a:stretch>
                  </pic:blipFill>
                  <pic:spPr>
                    <a:xfrm>
                      <a:off x="0" y="0"/>
                      <a:ext cx="3361690" cy="467995"/>
                    </a:xfrm>
                    <a:prstGeom prst="rect">
                      <a:avLst/>
                    </a:prstGeom>
                  </pic:spPr>
                </pic:pic>
              </a:graphicData>
            </a:graphic>
          </wp:anchor>
        </w:drawing>
      </w:r>
      <w:r>
        <w:rPr>
          <w:rFonts w:hint="default" w:ascii="Times New Roman" w:hAnsi="Times New Roman" w:eastAsia="方正仿宋_GB2312" w:cs="Times New Roman"/>
          <w:color w:val="000000" w:themeColor="text1"/>
          <w:lang w:eastAsia="zh-CN"/>
          <w14:textFill>
            <w14:solidFill>
              <w14:schemeClr w14:val="tx1"/>
            </w14:solidFill>
          </w14:textFill>
        </w:rPr>
        <w:drawing>
          <wp:anchor distT="0" distB="0" distL="114300" distR="114300" simplePos="0" relativeHeight="251660288" behindDoc="1" locked="0" layoutInCell="1" allowOverlap="1">
            <wp:simplePos x="0" y="0"/>
            <wp:positionH relativeFrom="column">
              <wp:posOffset>-1126490</wp:posOffset>
            </wp:positionH>
            <wp:positionV relativeFrom="paragraph">
              <wp:posOffset>-923925</wp:posOffset>
            </wp:positionV>
            <wp:extent cx="7553960" cy="10709910"/>
            <wp:effectExtent l="0" t="0" r="8890" b="15240"/>
            <wp:wrapNone/>
            <wp:docPr id="1" name="图片 1" descr="C:/Users/00/Downloads/贴A4纸下.png贴A4纸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00/Downloads/贴A4纸下.png贴A4纸下"/>
                    <pic:cNvPicPr>
                      <a:picLocks noChangeAspect="1"/>
                    </pic:cNvPicPr>
                  </pic:nvPicPr>
                  <pic:blipFill>
                    <a:blip r:embed="rId26"/>
                    <a:srcRect l="628" r="628"/>
                    <a:stretch>
                      <a:fillRect/>
                    </a:stretch>
                  </pic:blipFill>
                  <pic:spPr>
                    <a:xfrm>
                      <a:off x="0" y="0"/>
                      <a:ext cx="7553960" cy="10709910"/>
                    </a:xfrm>
                    <a:prstGeom prst="rect">
                      <a:avLst/>
                    </a:prstGeom>
                  </pic:spPr>
                </pic:pic>
              </a:graphicData>
            </a:graphic>
          </wp:anchor>
        </w:drawing>
      </w:r>
    </w:p>
    <w:p w14:paraId="725B5E28">
      <w:pPr>
        <w:pStyle w:val="53"/>
        <w:adjustRightInd w:val="0"/>
        <w:snapToGrid w:val="0"/>
        <w:spacing w:before="0" w:line="240" w:lineRule="auto"/>
        <w:jc w:val="center"/>
        <w:rPr>
          <w:rFonts w:hint="default" w:ascii="Times New Roman" w:hAnsi="Times New Roman" w:eastAsia="方正仿宋_GB2312" w:cs="Times New Roman"/>
          <w:sz w:val="44"/>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701" w:left="1800" w:header="851" w:footer="992" w:gutter="0"/>
          <w:pgNumType w:fmt="decimal" w:start="0"/>
          <w:cols w:space="720" w:num="1"/>
          <w:titlePg/>
          <w:docGrid w:type="lines" w:linePitch="435" w:charSpace="0"/>
        </w:sectPr>
      </w:pPr>
      <w:r>
        <w:rPr>
          <w:rFonts w:hint="default" w:ascii="Times New Roman" w:hAnsi="Times New Roman" w:eastAsia="方正仿宋_GB2312" w:cs="Times New Roman"/>
          <w:sz w:val="44"/>
        </w:rPr>
        <mc:AlternateContent>
          <mc:Choice Requires="wps">
            <w:drawing>
              <wp:anchor distT="0" distB="0" distL="114300" distR="114300" simplePos="0" relativeHeight="251662336" behindDoc="0" locked="0" layoutInCell="1" allowOverlap="1">
                <wp:simplePos x="0" y="0"/>
                <wp:positionH relativeFrom="column">
                  <wp:posOffset>676275</wp:posOffset>
                </wp:positionH>
                <wp:positionV relativeFrom="paragraph">
                  <wp:posOffset>7814945</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408080">
                            <w:pPr>
                              <w:ind w:left="0" w:leftChars="0" w:firstLine="0" w:firstLineChars="0"/>
                              <w:rPr>
                                <w:rFonts w:hint="eastAsia" w:ascii="黑体" w:hAnsi="黑体" w:eastAsia="黑体" w:cs="黑体"/>
                                <w:b/>
                                <w:bCs/>
                                <w:color w:val="000000" w:themeColor="text1"/>
                                <w:sz w:val="52"/>
                                <w:szCs w:val="52"/>
                                <w:lang w:val="en-US"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ascii="黑体" w:hAnsi="黑体" w:eastAsia="黑体" w:cs="黑体"/>
                                <w:b/>
                                <w:bCs/>
                                <w:color w:val="000000" w:themeColor="text1"/>
                                <w:sz w:val="52"/>
                                <w:szCs w:val="52"/>
                                <w:lang w:val="en-US" w:eastAsia="zh-CN"/>
                                <w14:shadow w14:blurRad="38100" w14:dist="19050" w14:dir="2700000" w14:sx="100000" w14:sy="100000" w14:kx="0" w14:ky="0" w14:algn="tl">
                                  <w14:schemeClr w14:val="dk1">
                                    <w14:alpha w14:val="60000"/>
                                  </w14:schemeClr>
                                </w14:shadow>
                                <w14:textFill>
                                  <w14:solidFill>
                                    <w14:schemeClr w14:val="tx1"/>
                                  </w14:solidFill>
                                </w14:textFill>
                              </w:rPr>
                              <w:t>编制日期：2026年7月</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53.25pt;margin-top:615.35pt;height:144pt;width:144pt;mso-wrap-style:none;z-index:251662336;mso-width-relative:page;mso-height-relative:page;" filled="f" stroked="f" coordsize="21600,21600" o:gfxdata="UEsDBAoAAAAAAIdO4kAAAAAAAAAAAAAAAAAEAAAAZHJzL1BLAwQUAAAACACHTuJAqqjl6toAAAAN&#10;AQAADwAAAGRycy9kb3ducmV2LnhtbE2PzU7DMBCE70i8g7VI3Kidhv4Q4vRQiV4QBwqC6yZ2kyjx&#10;OordNPD0LCe47cyOZr/Nd7PrxWTH0HrSkCwUCEuVNy3VGt7fnu62IEJEMth7shq+bIBdcX2VY2b8&#10;hV7tdIy14BIKGWpoYhwyKUPVWIdh4QdLvDv50WFkOdbSjHjhctfLpVJr6bAlvtDgYPeNrbrj2Wl4&#10;wY9DnOauOnTDyXy6odyn389a394k6hFEtHP8C8MvPqNDwUylP5MJomet1iuO8rBM1QYER9KHe7ZK&#10;tlbJdgOyyOX/L4ofUEsDBBQAAAAIAIdO4kADuURhNQIAAGUEAAAOAAAAZHJzL2Uyb0RvYy54bWyt&#10;VM2O0zAQviPxDpbvNG3pLqVquipbFSGt2JUK4uw6ThPJf7LdJuUB4A04ceHOc/U5+Oy03WrhsAcu&#10;ztgz/sbfNzOZ3rRKkp1wvjY6p4NenxKhuSlqvcnp50/LV2NKfGC6YNJokdO98PRm9vLFtLETMTSV&#10;kYVwBCDaTxqb0yoEO8kyzyuhmO8ZKzScpXGKBWzdJisca4CuZDbs96+zxrjCOsOF9zhddE56RHTP&#10;ATRlWXOxMHyrhA4dqhOSBVDyVW09naXXlqXg4b4svQhE5hRMQ1qRBPY6rtlsyiYbx2xV8+MT2HOe&#10;8ISTYrVG0jPUggVGtq7+C0rV3BlvytDjRmUdkaQIWAz6T7RZVcyKxAVSe3sW3f8/WP5x9+BIXeQU&#10;ZddMoeCHH98PP38ffn0j4yhPY/0EUSuLuNC+My2a5nTucRhZt6VT8Qs+BH6Iuz+LK9pAeLw0Ho7H&#10;fbg4fKcN8LPH69b58F4YRaKRU4fqJVHZ7s6HLvQUErNps6ylTBWUmjQ5vX591U8Xzh6AS40ckUT3&#10;2GiFdt0ema1NsQcxZ7rO8JYvayS/Yz48MIdWwIMxLOEeSykNkpijRUll3Nd/ncd4VAheShq0Vk41&#10;JokS+UGjcm8HoxFAQ9qMrt4MsXGXnvWlR2/VrUHvDjCUliczxgd5Mktn1BdM1DzmhItpjsw5DSfz&#10;NnTtjonkYj5PQeg9y8KdXlkeoaOY3s63AYImnaNInTJH7dB9qVLHSYntfblPUY9/h9k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qqjl6toAAAANAQAADwAAAAAAAAABACAAAAAiAAAAZHJzL2Rvd25y&#10;ZXYueG1sUEsBAhQAFAAAAAgAh07iQAO5RGE1AgAAZQQAAA4AAAAAAAAAAQAgAAAAKQEAAGRycy9l&#10;Mm9Eb2MueG1sUEsFBgAAAAAGAAYAWQEAANAFAAAAAA==&#10;">
                <v:fill on="f" focussize="0,0"/>
                <v:stroke on="f" weight="0.5pt"/>
                <v:imagedata o:title=""/>
                <o:lock v:ext="edit" aspectratio="f"/>
                <v:textbox style="mso-fit-shape-to-text:t;">
                  <w:txbxContent>
                    <w:p w14:paraId="45408080">
                      <w:pPr>
                        <w:ind w:left="0" w:leftChars="0" w:firstLine="0" w:firstLineChars="0"/>
                        <w:rPr>
                          <w:rFonts w:hint="eastAsia" w:ascii="黑体" w:hAnsi="黑体" w:eastAsia="黑体" w:cs="黑体"/>
                          <w:b/>
                          <w:bCs/>
                          <w:color w:val="000000" w:themeColor="text1"/>
                          <w:sz w:val="52"/>
                          <w:szCs w:val="52"/>
                          <w:lang w:val="en-US"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ascii="黑体" w:hAnsi="黑体" w:eastAsia="黑体" w:cs="黑体"/>
                          <w:b/>
                          <w:bCs/>
                          <w:color w:val="000000" w:themeColor="text1"/>
                          <w:sz w:val="52"/>
                          <w:szCs w:val="52"/>
                          <w:lang w:val="en-US" w:eastAsia="zh-CN"/>
                          <w14:shadow w14:blurRad="38100" w14:dist="19050" w14:dir="2700000" w14:sx="100000" w14:sy="100000" w14:kx="0" w14:ky="0" w14:algn="tl">
                            <w14:schemeClr w14:val="dk1">
                              <w14:alpha w14:val="60000"/>
                            </w14:schemeClr>
                          </w14:shadow>
                          <w14:textFill>
                            <w14:solidFill>
                              <w14:schemeClr w14:val="tx1"/>
                            </w14:solidFill>
                          </w14:textFill>
                        </w:rPr>
                        <w:t>编制日期：2026年7月</w:t>
                      </w:r>
                    </w:p>
                  </w:txbxContent>
                </v:textbox>
              </v:shape>
            </w:pict>
          </mc:Fallback>
        </mc:AlternateContent>
      </w:r>
    </w:p>
    <w:p w14:paraId="143C14E7">
      <w:pPr>
        <w:pStyle w:val="53"/>
        <w:adjustRightInd w:val="0"/>
        <w:snapToGrid w:val="0"/>
        <w:spacing w:before="0" w:line="240" w:lineRule="auto"/>
        <w:jc w:val="center"/>
        <w:rPr>
          <w:rFonts w:hint="default" w:ascii="Times New Roman" w:hAnsi="Times New Roman" w:eastAsia="方正仿宋_GB2312" w:cs="Times New Roman"/>
          <w:bCs/>
          <w:color w:val="000000" w:themeColor="text1"/>
          <w:kern w:val="2"/>
          <w14:textFill>
            <w14:solidFill>
              <w14:schemeClr w14:val="tx1"/>
            </w14:solidFill>
          </w14:textFill>
        </w:rPr>
      </w:pPr>
      <w:r>
        <w:rPr>
          <w:rFonts w:hint="default" w:ascii="Times New Roman" w:hAnsi="Times New Roman" w:eastAsia="方正仿宋_GB2312" w:cs="Times New Roman"/>
          <w:bCs/>
          <w:color w:val="000000" w:themeColor="text1"/>
          <w:kern w:val="2"/>
          <w14:textFill>
            <w14:solidFill>
              <w14:schemeClr w14:val="tx1"/>
            </w14:solidFill>
          </w14:textFill>
        </w:rPr>
        <w:t>目录</w:t>
      </w:r>
    </w:p>
    <w:sdt>
      <w:sdtPr>
        <w:rPr>
          <w:rFonts w:hint="default" w:ascii="Times New Roman" w:hAnsi="Times New Roman" w:eastAsia="方正仿宋_GB2312" w:cs="Times New Roman"/>
          <w:snapToGrid w:val="0"/>
          <w:color w:val="000000" w:themeColor="text1"/>
          <w:spacing w:val="6"/>
          <w:kern w:val="0"/>
          <w:sz w:val="21"/>
          <w:szCs w:val="24"/>
          <w:lang w:val="en-US" w:eastAsia="zh-CN" w:bidi="ar-SA"/>
          <w14:textFill>
            <w14:solidFill>
              <w14:schemeClr w14:val="tx1"/>
            </w14:solidFill>
          </w14:textFill>
        </w:rPr>
        <w:id w:val="147475283"/>
        <w15:color w:val="DBDBDB"/>
        <w:docPartObj>
          <w:docPartGallery w:val="Table of Contents"/>
          <w:docPartUnique/>
        </w:docPartObj>
      </w:sdtPr>
      <w:sdtEndPr>
        <w:rPr>
          <w:rFonts w:hint="default" w:ascii="Times New Roman" w:hAnsi="Times New Roman" w:eastAsia="方正仿宋_GB2312" w:cs="Times New Roman"/>
          <w:snapToGrid w:val="0"/>
          <w:color w:val="000000" w:themeColor="text1"/>
          <w:spacing w:val="6"/>
          <w:kern w:val="0"/>
          <w:sz w:val="24"/>
          <w:szCs w:val="24"/>
          <w:lang w:val="en-US" w:eastAsia="zh-CN" w:bidi="ar-SA"/>
          <w14:textFill>
            <w14:solidFill>
              <w14:schemeClr w14:val="tx1"/>
            </w14:solidFill>
          </w14:textFill>
        </w:rPr>
      </w:sdtEndPr>
      <w:sdtContent>
        <w:p w14:paraId="152A3B4C">
          <w:pPr>
            <w:spacing w:before="0" w:beforeLines="0" w:after="0" w:afterLines="0" w:line="240" w:lineRule="auto"/>
            <w:ind w:left="0" w:leftChars="0" w:right="0" w:rightChars="0" w:firstLine="0" w:firstLineChars="0"/>
            <w:jc w:val="center"/>
            <w:rPr>
              <w:rFonts w:hint="default" w:ascii="Times New Roman" w:hAnsi="Times New Roman" w:eastAsia="方正仿宋_GB2312" w:cs="Times New Roman"/>
            </w:rPr>
          </w:pPr>
        </w:p>
        <w:p w14:paraId="56999436">
          <w:pPr>
            <w:pStyle w:val="18"/>
            <w:tabs>
              <w:tab w:val="right" w:leader="dot" w:pos="8306"/>
            </w:tabs>
          </w:pPr>
          <w:r>
            <w:rPr>
              <w:rFonts w:hint="default" w:ascii="Times New Roman" w:hAnsi="Times New Roman" w:eastAsia="方正仿宋_GB2312" w:cs="Times New Roman"/>
              <w:color w:val="000000" w:themeColor="text1"/>
              <w:sz w:val="24"/>
              <w:szCs w:val="24"/>
              <w14:textFill>
                <w14:solidFill>
                  <w14:schemeClr w14:val="tx1"/>
                </w14:solidFill>
              </w14:textFill>
            </w:rPr>
            <w:fldChar w:fldCharType="begin"/>
          </w:r>
          <w:r>
            <w:rPr>
              <w:rFonts w:hint="default" w:ascii="Times New Roman" w:hAnsi="Times New Roman" w:eastAsia="方正仿宋_GB2312" w:cs="Times New Roman"/>
              <w:color w:val="000000" w:themeColor="text1"/>
              <w:sz w:val="24"/>
              <w:szCs w:val="24"/>
              <w14:textFill>
                <w14:solidFill>
                  <w14:schemeClr w14:val="tx1"/>
                </w14:solidFill>
              </w14:textFill>
            </w:rPr>
            <w:instrText xml:space="preserve">TOC \o "1-2" \h \u </w:instrText>
          </w:r>
          <w:r>
            <w:rPr>
              <w:rFonts w:hint="default" w:ascii="Times New Roman" w:hAnsi="Times New Roman" w:eastAsia="方正仿宋_GB2312" w:cs="Times New Roman"/>
              <w:color w:val="000000" w:themeColor="text1"/>
              <w:sz w:val="24"/>
              <w:szCs w:val="24"/>
              <w14:textFill>
                <w14:solidFill>
                  <w14:schemeClr w14:val="tx1"/>
                </w14:solidFill>
              </w14:textFill>
            </w:rPr>
            <w:fldChar w:fldCharType="separate"/>
          </w: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_Toc25737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lang w:val="en-US" w:eastAsia="zh-CN"/>
            </w:rPr>
            <w:t>第一章</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披露主体</w:t>
          </w:r>
          <w:r>
            <w:tab/>
          </w:r>
          <w:r>
            <w:fldChar w:fldCharType="begin"/>
          </w:r>
          <w:r>
            <w:instrText xml:space="preserve"> PAGEREF _Toc25737 \h </w:instrText>
          </w:r>
          <w:r>
            <w:fldChar w:fldCharType="separate"/>
          </w:r>
          <w:r>
            <w:t>3</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78151DC6">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_Toc28877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rPr>
            <w:t>1.1编制说明</w:t>
          </w:r>
          <w:r>
            <w:tab/>
          </w:r>
          <w:r>
            <w:fldChar w:fldCharType="begin"/>
          </w:r>
          <w:r>
            <w:instrText xml:space="preserve"> PAGEREF _Toc28877 \h </w:instrText>
          </w:r>
          <w:r>
            <w:fldChar w:fldCharType="separate"/>
          </w:r>
          <w:r>
            <w:t>3</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355BD5B1">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_Toc29770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rPr>
            <w:t>1.2基本信息</w:t>
          </w:r>
          <w:r>
            <w:tab/>
          </w:r>
          <w:r>
            <w:fldChar w:fldCharType="begin"/>
          </w:r>
          <w:r>
            <w:instrText xml:space="preserve"> PAGEREF _Toc29770 \h </w:instrText>
          </w:r>
          <w:r>
            <w:fldChar w:fldCharType="separate"/>
          </w:r>
          <w:r>
            <w:t>3</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5C8CC81A">
          <w:pPr>
            <w:pStyle w:val="18"/>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_Toc20395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lang w:val="en-US" w:eastAsia="zh-CN"/>
            </w:rPr>
            <w:t>第二章</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lang w:val="en-US" w:eastAsia="zh-CN"/>
            </w:rPr>
            <w:t>年度概况</w:t>
          </w:r>
          <w:r>
            <w:tab/>
          </w:r>
          <w:r>
            <w:fldChar w:fldCharType="begin"/>
          </w:r>
          <w:r>
            <w:instrText xml:space="preserve"> PAGEREF _Toc20395 \h </w:instrText>
          </w:r>
          <w:r>
            <w:fldChar w:fldCharType="separate"/>
          </w:r>
          <w:r>
            <w:t>5</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2CC28648">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_Toc12269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rPr>
            <w:t>2.1目标愿景</w:t>
          </w:r>
          <w:r>
            <w:tab/>
          </w:r>
          <w:r>
            <w:fldChar w:fldCharType="begin"/>
          </w:r>
          <w:r>
            <w:instrText xml:space="preserve"> PAGEREF _Toc12269 \h </w:instrText>
          </w:r>
          <w:r>
            <w:fldChar w:fldCharType="separate"/>
          </w:r>
          <w:r>
            <w:t>5</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2779FBF8">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_Toc3107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rPr>
            <w:t>2.2战略规划</w:t>
          </w:r>
          <w:r>
            <w:tab/>
          </w:r>
          <w:r>
            <w:fldChar w:fldCharType="begin"/>
          </w:r>
          <w:r>
            <w:instrText xml:space="preserve"> PAGEREF _Toc3107 \h </w:instrText>
          </w:r>
          <w:r>
            <w:fldChar w:fldCharType="separate"/>
          </w:r>
          <w:r>
            <w:t>5</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08FC999D">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_Toc17411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rPr>
            <w:t>2.3政策内容</w:t>
          </w:r>
          <w:r>
            <w:tab/>
          </w:r>
          <w:r>
            <w:fldChar w:fldCharType="begin"/>
          </w:r>
          <w:r>
            <w:instrText xml:space="preserve"> PAGEREF _Toc17411 \h </w:instrText>
          </w:r>
          <w:r>
            <w:fldChar w:fldCharType="separate"/>
          </w:r>
          <w:r>
            <w:t>6</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03749ADA">
          <w:pPr>
            <w:pStyle w:val="18"/>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_Toc11406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lang w:val="en-US" w:eastAsia="zh-CN"/>
            </w:rPr>
            <w:t>第三章</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lang w:val="en-US" w:eastAsia="zh-CN"/>
            </w:rPr>
            <w:t>治理结构</w:t>
          </w:r>
          <w:r>
            <w:tab/>
          </w:r>
          <w:r>
            <w:fldChar w:fldCharType="begin"/>
          </w:r>
          <w:r>
            <w:instrText xml:space="preserve"> PAGEREF _Toc11406 \h </w:instrText>
          </w:r>
          <w:r>
            <w:fldChar w:fldCharType="separate"/>
          </w:r>
          <w:r>
            <w:t>8</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07434FB6">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_Toc8538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lang w:val="en-US" w:eastAsia="zh-CN"/>
            </w:rPr>
            <w:t>3.1组织结构</w:t>
          </w:r>
          <w:r>
            <w:tab/>
          </w:r>
          <w:r>
            <w:fldChar w:fldCharType="begin"/>
          </w:r>
          <w:r>
            <w:instrText xml:space="preserve"> PAGEREF _Toc8538 \h </w:instrText>
          </w:r>
          <w:r>
            <w:fldChar w:fldCharType="separate"/>
          </w:r>
          <w:r>
            <w:t>8</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3A5B5BC9">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_Toc23258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lang w:val="en-US" w:eastAsia="zh-CN"/>
            </w:rPr>
            <w:t>3.2具体职责</w:t>
          </w:r>
          <w:r>
            <w:tab/>
          </w:r>
          <w:r>
            <w:fldChar w:fldCharType="begin"/>
          </w:r>
          <w:r>
            <w:instrText xml:space="preserve"> PAGEREF _Toc23258 \h </w:instrText>
          </w:r>
          <w:r>
            <w:fldChar w:fldCharType="separate"/>
          </w:r>
          <w:r>
            <w:t>8</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23AE3265">
          <w:pPr>
            <w:pStyle w:val="18"/>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_Toc15649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lang w:val="en-US" w:eastAsia="zh-CN"/>
            </w:rPr>
            <w:t>第四章政策制度</w:t>
          </w:r>
          <w:r>
            <w:tab/>
          </w:r>
          <w:r>
            <w:fldChar w:fldCharType="begin"/>
          </w:r>
          <w:r>
            <w:instrText xml:space="preserve"> PAGEREF _Toc15649 \h </w:instrText>
          </w:r>
          <w:r>
            <w:fldChar w:fldCharType="separate"/>
          </w:r>
          <w:r>
            <w:t>10</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6274C2DA">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_Toc9895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rPr>
            <w:t>4.1公司政策</w:t>
          </w:r>
          <w:r>
            <w:tab/>
          </w:r>
          <w:r>
            <w:fldChar w:fldCharType="begin"/>
          </w:r>
          <w:r>
            <w:instrText xml:space="preserve"> PAGEREF _Toc9895 \h </w:instrText>
          </w:r>
          <w:r>
            <w:fldChar w:fldCharType="separate"/>
          </w:r>
          <w:r>
            <w:t>10</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154EF196">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_Toc17143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rPr>
            <w:t>4.2国内政策</w:t>
          </w:r>
          <w:r>
            <w:tab/>
          </w:r>
          <w:r>
            <w:fldChar w:fldCharType="begin"/>
          </w:r>
          <w:r>
            <w:instrText xml:space="preserve"> PAGEREF _Toc17143 \h </w:instrText>
          </w:r>
          <w:r>
            <w:fldChar w:fldCharType="separate"/>
          </w:r>
          <w:r>
            <w:t>13</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259471F5">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_Toc1423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rPr>
            <w:t>4.3国际标准</w:t>
          </w:r>
          <w:r>
            <w:tab/>
          </w:r>
          <w:r>
            <w:fldChar w:fldCharType="begin"/>
          </w:r>
          <w:r>
            <w:instrText xml:space="preserve"> PAGEREF _Toc1423 \h </w:instrText>
          </w:r>
          <w:r>
            <w:fldChar w:fldCharType="separate"/>
          </w:r>
          <w:r>
            <w:t>15</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27492FE9">
          <w:pPr>
            <w:pStyle w:val="18"/>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_Toc20639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lang w:val="en-US" w:eastAsia="zh-CN"/>
            </w:rPr>
            <w:t>第五章环境管理</w:t>
          </w:r>
          <w:r>
            <w:tab/>
          </w:r>
          <w:r>
            <w:fldChar w:fldCharType="begin"/>
          </w:r>
          <w:r>
            <w:instrText xml:space="preserve"> PAGEREF _Toc20639 \h </w:instrText>
          </w:r>
          <w:r>
            <w:fldChar w:fldCharType="separate"/>
          </w:r>
          <w:r>
            <w:t>16</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2B181BDB">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_Toc27286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rPr>
            <w:t>5.1</w:t>
          </w:r>
          <w:r>
            <w:rPr>
              <w:rFonts w:hint="default" w:ascii="Times New Roman" w:hAnsi="Times New Roman" w:eastAsia="方正仿宋_GB2312" w:cs="Times New Roman"/>
              <w:lang w:val="en-US" w:eastAsia="zh-CN"/>
            </w:rPr>
            <w:t>气候风险管理</w:t>
          </w:r>
          <w:r>
            <w:tab/>
          </w:r>
          <w:r>
            <w:fldChar w:fldCharType="begin"/>
          </w:r>
          <w:r>
            <w:instrText xml:space="preserve"> PAGEREF _Toc27286 \h </w:instrText>
          </w:r>
          <w:r>
            <w:fldChar w:fldCharType="separate"/>
          </w:r>
          <w:r>
            <w:t>16</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3E65FFF0">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_Toc20531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rPr>
            <w:t>5.2环境</w:t>
          </w:r>
          <w:r>
            <w:rPr>
              <w:rFonts w:hint="default" w:ascii="Times New Roman" w:hAnsi="Times New Roman" w:eastAsia="方正仿宋_GB2312" w:cs="Times New Roman"/>
              <w:lang w:val="en-US" w:eastAsia="zh-CN"/>
            </w:rPr>
            <w:t>相关实质性</w:t>
          </w:r>
          <w:r>
            <w:rPr>
              <w:rFonts w:hint="default" w:ascii="Times New Roman" w:hAnsi="Times New Roman" w:eastAsia="方正仿宋_GB2312" w:cs="Times New Roman"/>
            </w:rPr>
            <w:t>议题</w:t>
          </w:r>
          <w:r>
            <w:tab/>
          </w:r>
          <w:r>
            <w:fldChar w:fldCharType="begin"/>
          </w:r>
          <w:r>
            <w:instrText xml:space="preserve"> PAGEREF _Toc20531 \h </w:instrText>
          </w:r>
          <w:r>
            <w:fldChar w:fldCharType="separate"/>
          </w:r>
          <w:r>
            <w:t>17</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502697C7">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_Toc22019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rPr>
            <w:t>5.3情景分析与压力测试</w:t>
          </w:r>
          <w:r>
            <w:tab/>
          </w:r>
          <w:r>
            <w:fldChar w:fldCharType="begin"/>
          </w:r>
          <w:r>
            <w:instrText xml:space="preserve"> PAGEREF _Toc22019 \h </w:instrText>
          </w:r>
          <w:r>
            <w:fldChar w:fldCharType="separate"/>
          </w:r>
          <w:r>
            <w:t>18</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483AD347">
          <w:pPr>
            <w:pStyle w:val="18"/>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_Toc27914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lang w:val="en-US" w:eastAsia="zh-CN"/>
            </w:rPr>
            <w:t>第六章自身经营的环境影响</w:t>
          </w:r>
          <w:r>
            <w:tab/>
          </w:r>
          <w:r>
            <w:fldChar w:fldCharType="begin"/>
          </w:r>
          <w:r>
            <w:instrText xml:space="preserve"> PAGEREF _Toc27914 \h </w:instrText>
          </w:r>
          <w:r>
            <w:fldChar w:fldCharType="separate"/>
          </w:r>
          <w:r>
            <w:t>22</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2FC918C9">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_Toc2368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rPr>
            <w:t>6.1自身经营的能源和资源消耗</w:t>
          </w:r>
          <w:r>
            <w:tab/>
          </w:r>
          <w:r>
            <w:fldChar w:fldCharType="begin"/>
          </w:r>
          <w:r>
            <w:instrText xml:space="preserve"> PAGEREF _Toc2368 \h </w:instrText>
          </w:r>
          <w:r>
            <w:fldChar w:fldCharType="separate"/>
          </w:r>
          <w:r>
            <w:t>22</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42416646">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_Toc16556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rPr>
            <w:t>6.2自身经营的碳排放</w:t>
          </w:r>
          <w:r>
            <w:tab/>
          </w:r>
          <w:r>
            <w:fldChar w:fldCharType="begin"/>
          </w:r>
          <w:r>
            <w:instrText xml:space="preserve"> PAGEREF _Toc16556 \h </w:instrText>
          </w:r>
          <w:r>
            <w:fldChar w:fldCharType="separate"/>
          </w:r>
          <w:r>
            <w:t>23</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5B71FD91">
          <w:pPr>
            <w:pStyle w:val="18"/>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_Toc9838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lang w:val="en-US" w:eastAsia="zh-CN"/>
            </w:rPr>
            <w:t>第七章投融资活动的碳排放</w:t>
          </w:r>
          <w:r>
            <w:tab/>
          </w:r>
          <w:r>
            <w:fldChar w:fldCharType="begin"/>
          </w:r>
          <w:r>
            <w:instrText xml:space="preserve"> PAGEREF _Toc9838 \h </w:instrText>
          </w:r>
          <w:r>
            <w:fldChar w:fldCharType="separate"/>
          </w:r>
          <w:r>
            <w:t>26</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0D69FDA8">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_Toc136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rPr>
            <w:t>7.1</w:t>
          </w:r>
          <w:r>
            <w:rPr>
              <w:rFonts w:hint="default" w:ascii="Times New Roman" w:hAnsi="Times New Roman" w:eastAsia="方正仿宋_GB2312" w:cs="Times New Roman"/>
              <w:bCs/>
              <w:lang w:val="en-US" w:eastAsia="zh-CN"/>
            </w:rPr>
            <w:t>贷款</w:t>
          </w:r>
          <w:r>
            <w:rPr>
              <w:rFonts w:hint="default" w:ascii="Times New Roman" w:hAnsi="Times New Roman" w:eastAsia="方正仿宋_GB2312" w:cs="Times New Roman"/>
              <w:bCs/>
            </w:rPr>
            <w:t>资产</w:t>
          </w:r>
          <w:r>
            <w:tab/>
          </w:r>
          <w:r>
            <w:fldChar w:fldCharType="begin"/>
          </w:r>
          <w:r>
            <w:instrText xml:space="preserve"> PAGEREF _Toc136 \h </w:instrText>
          </w:r>
          <w:r>
            <w:fldChar w:fldCharType="separate"/>
          </w:r>
          <w:r>
            <w:t>26</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66F8CBFB">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_Toc456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lang w:val="en-US" w:eastAsia="zh-CN"/>
            </w:rPr>
            <w:t>7.2债券资产</w:t>
          </w:r>
          <w:r>
            <w:tab/>
          </w:r>
          <w:r>
            <w:fldChar w:fldCharType="begin"/>
          </w:r>
          <w:r>
            <w:instrText xml:space="preserve"> PAGEREF _Toc456 \h </w:instrText>
          </w:r>
          <w:r>
            <w:fldChar w:fldCharType="separate"/>
          </w:r>
          <w:r>
            <w:t>26</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07CD9D5F">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_Toc31312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lang w:val="en-US" w:eastAsia="zh-CN"/>
            </w:rPr>
            <w:t>7.3投融资（总计）</w:t>
          </w:r>
          <w:r>
            <w:tab/>
          </w:r>
          <w:r>
            <w:fldChar w:fldCharType="begin"/>
          </w:r>
          <w:r>
            <w:instrText xml:space="preserve"> PAGEREF _Toc31312 \h </w:instrText>
          </w:r>
          <w:r>
            <w:fldChar w:fldCharType="separate"/>
          </w:r>
          <w:r>
            <w:t>26</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718ED749">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_Toc23318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lang w:val="en-US" w:eastAsia="zh-CN"/>
            </w:rPr>
            <w:t>7.4高碳行业</w:t>
          </w:r>
          <w:r>
            <w:tab/>
          </w:r>
          <w:r>
            <w:fldChar w:fldCharType="begin"/>
          </w:r>
          <w:r>
            <w:instrText xml:space="preserve"> PAGEREF _Toc23318 \h </w:instrText>
          </w:r>
          <w:r>
            <w:fldChar w:fldCharType="separate"/>
          </w:r>
          <w:r>
            <w:t>26</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77ECA87F">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_Toc23578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lang w:val="en-US" w:eastAsia="zh-CN"/>
            </w:rPr>
            <w:t>7.5行业门类</w:t>
          </w:r>
          <w:r>
            <w:tab/>
          </w:r>
          <w:r>
            <w:fldChar w:fldCharType="begin"/>
          </w:r>
          <w:r>
            <w:instrText xml:space="preserve"> PAGEREF _Toc23578 \h </w:instrText>
          </w:r>
          <w:r>
            <w:fldChar w:fldCharType="separate"/>
          </w:r>
          <w:r>
            <w:t>27</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4D7B085C">
          <w:pPr>
            <w:pStyle w:val="18"/>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_Toc10171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lang w:val="en-US" w:eastAsia="zh-CN"/>
            </w:rPr>
            <w:t>第八章绿色资产的节能减排</w:t>
          </w:r>
          <w:r>
            <w:tab/>
          </w:r>
          <w:r>
            <w:fldChar w:fldCharType="begin"/>
          </w:r>
          <w:r>
            <w:instrText xml:space="preserve"> PAGEREF _Toc10171 \h </w:instrText>
          </w:r>
          <w:r>
            <w:fldChar w:fldCharType="separate"/>
          </w:r>
          <w:r>
            <w:t>28</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201CDA37">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_Toc28353 </w:instrText>
          </w:r>
          <w:r>
            <w:rPr>
              <w:rFonts w:hint="default" w:ascii="Times New Roman" w:hAnsi="Times New Roman" w:eastAsia="方正仿宋_GB2312" w:cs="Times New Roman"/>
              <w:szCs w:val="24"/>
            </w:rPr>
            <w:fldChar w:fldCharType="separate"/>
          </w:r>
          <w:r>
            <w:rPr>
              <w:rFonts w:hint="default"/>
              <w:lang w:val="en-US" w:eastAsia="zh-CN"/>
            </w:rPr>
            <w:t>8.1绿色贷款</w:t>
          </w:r>
          <w:r>
            <w:tab/>
          </w:r>
          <w:r>
            <w:fldChar w:fldCharType="begin"/>
          </w:r>
          <w:r>
            <w:instrText xml:space="preserve"> PAGEREF _Toc28353 \h </w:instrText>
          </w:r>
          <w:r>
            <w:fldChar w:fldCharType="separate"/>
          </w:r>
          <w:r>
            <w:t>28</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30A3C1DD">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_Toc6687 </w:instrText>
          </w:r>
          <w:r>
            <w:rPr>
              <w:rFonts w:hint="default" w:ascii="Times New Roman" w:hAnsi="Times New Roman" w:eastAsia="方正仿宋_GB2312" w:cs="Times New Roman"/>
              <w:szCs w:val="24"/>
            </w:rPr>
            <w:fldChar w:fldCharType="separate"/>
          </w:r>
          <w:r>
            <w:rPr>
              <w:rFonts w:hint="default"/>
              <w:lang w:val="en-US" w:eastAsia="zh-CN"/>
            </w:rPr>
            <w:t>8.2 绿色产业</w:t>
          </w:r>
          <w:r>
            <w:tab/>
          </w:r>
          <w:r>
            <w:fldChar w:fldCharType="begin"/>
          </w:r>
          <w:r>
            <w:instrText xml:space="preserve"> PAGEREF _Toc6687 \h </w:instrText>
          </w:r>
          <w:r>
            <w:fldChar w:fldCharType="separate"/>
          </w:r>
          <w:r>
            <w:t>29</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06CE893A">
          <w:pPr>
            <w:pStyle w:val="18"/>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_Toc14730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lang w:val="en-US" w:eastAsia="zh-CN"/>
            </w:rPr>
            <w:t>第九章创新及研究</w:t>
          </w:r>
          <w:r>
            <w:tab/>
          </w:r>
          <w:r>
            <w:fldChar w:fldCharType="begin"/>
          </w:r>
          <w:r>
            <w:instrText xml:space="preserve"> PAGEREF _Toc14730 \h </w:instrText>
          </w:r>
          <w:r>
            <w:fldChar w:fldCharType="separate"/>
          </w:r>
          <w:r>
            <w:t>30</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3B75B403">
          <w:pPr>
            <w:pStyle w:val="18"/>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_Toc10238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lang w:val="en-US" w:eastAsia="zh-CN"/>
            </w:rPr>
            <w:t>第十章数据质量管理</w:t>
          </w:r>
          <w:r>
            <w:tab/>
          </w:r>
          <w:r>
            <w:fldChar w:fldCharType="begin"/>
          </w:r>
          <w:r>
            <w:instrText xml:space="preserve"> PAGEREF _Toc10238 \h </w:instrText>
          </w:r>
          <w:r>
            <w:fldChar w:fldCharType="separate"/>
          </w:r>
          <w:r>
            <w:t>33</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4BCA465C">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_Toc13733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val="0"/>
              <w:lang w:val="en-US" w:eastAsia="zh-CN"/>
            </w:rPr>
            <w:t>10.1数据梳理、校验及保护</w:t>
          </w:r>
          <w:r>
            <w:tab/>
          </w:r>
          <w:r>
            <w:fldChar w:fldCharType="begin"/>
          </w:r>
          <w:r>
            <w:instrText xml:space="preserve"> PAGEREF _Toc13733 \h </w:instrText>
          </w:r>
          <w:r>
            <w:fldChar w:fldCharType="separate"/>
          </w:r>
          <w:r>
            <w:t>33</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316E4E07">
          <w:pPr>
            <w:pStyle w:val="4"/>
            <w:tabs>
              <w:tab w:val="right" w:leader="dot" w:pos="8306"/>
            </w:tabs>
          </w:pPr>
          <w:r>
            <w:rPr>
              <w:rFonts w:hint="default" w:ascii="Times New Roman" w:hAnsi="Times New Roman" w:eastAsia="方正仿宋_GB2312" w:cs="Times New Roman"/>
              <w:color w:val="000000" w:themeColor="text1"/>
              <w:szCs w:val="24"/>
              <w14:textFill>
                <w14:solidFill>
                  <w14:schemeClr w14:val="tx1"/>
                </w14:solidFill>
              </w14:textFill>
            </w:rPr>
            <w:fldChar w:fldCharType="begin"/>
          </w:r>
          <w:r>
            <w:rPr>
              <w:rFonts w:hint="default" w:ascii="Times New Roman" w:hAnsi="Times New Roman" w:eastAsia="方正仿宋_GB2312" w:cs="Times New Roman"/>
              <w:szCs w:val="24"/>
            </w:rPr>
            <w:instrText xml:space="preserve"> HYPERLINK \l _Toc31256 </w:instrText>
          </w:r>
          <w:r>
            <w:rPr>
              <w:rFonts w:hint="default" w:ascii="Times New Roman" w:hAnsi="Times New Roman" w:eastAsia="方正仿宋_GB2312" w:cs="Times New Roman"/>
              <w:szCs w:val="24"/>
            </w:rPr>
            <w:fldChar w:fldCharType="separate"/>
          </w:r>
          <w:r>
            <w:rPr>
              <w:rFonts w:hint="default" w:ascii="Times New Roman" w:hAnsi="Times New Roman" w:eastAsia="方正仿宋_GB2312" w:cs="Times New Roman"/>
              <w:bCs w:val="0"/>
              <w:lang w:val="en-US" w:eastAsia="zh-CN"/>
            </w:rPr>
            <w:t>10.2碳排放数据质量管理</w:t>
          </w:r>
          <w:r>
            <w:tab/>
          </w:r>
          <w:r>
            <w:fldChar w:fldCharType="begin"/>
          </w:r>
          <w:r>
            <w:instrText xml:space="preserve"> PAGEREF _Toc31256 \h </w:instrText>
          </w:r>
          <w:r>
            <w:fldChar w:fldCharType="separate"/>
          </w:r>
          <w:r>
            <w:t>35</w:t>
          </w:r>
          <w:r>
            <w:fldChar w:fldCharType="end"/>
          </w: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p w14:paraId="55D7F903">
          <w:pPr>
            <w:ind w:left="0" w:leftChars="0" w:firstLine="0" w:firstLineChars="0"/>
            <w:rPr>
              <w:rFonts w:hint="default" w:ascii="Times New Roman" w:hAnsi="Times New Roman" w:eastAsia="方正仿宋_GB2312" w:cs="Times New Roman"/>
              <w:snapToGrid w:val="0"/>
              <w:color w:val="000000" w:themeColor="text1"/>
              <w:spacing w:val="6"/>
              <w:kern w:val="0"/>
              <w:sz w:val="24"/>
              <w:szCs w:val="24"/>
              <w:lang w:val="en-US" w:eastAsia="zh-CN" w:bidi="ar-SA"/>
              <w14:textFill>
                <w14:solidFill>
                  <w14:schemeClr w14:val="tx1"/>
                </w14:solidFill>
              </w14:textFill>
            </w:rPr>
          </w:pPr>
          <w:r>
            <w:rPr>
              <w:rFonts w:hint="default" w:ascii="Times New Roman" w:hAnsi="Times New Roman" w:eastAsia="方正仿宋_GB2312" w:cs="Times New Roman"/>
              <w:color w:val="000000" w:themeColor="text1"/>
              <w:szCs w:val="24"/>
              <w14:textFill>
                <w14:solidFill>
                  <w14:schemeClr w14:val="tx1"/>
                </w14:solidFill>
              </w14:textFill>
            </w:rPr>
            <w:fldChar w:fldCharType="end"/>
          </w:r>
        </w:p>
      </w:sdtContent>
    </w:sdt>
    <w:p w14:paraId="2B3C0BDC">
      <w:pPr>
        <w:pStyle w:val="2"/>
        <w:rPr>
          <w:rFonts w:hint="default" w:ascii="Times New Roman" w:hAnsi="Times New Roman" w:eastAsia="方正仿宋_GB2312" w:cs="Times New Roman"/>
        </w:rPr>
      </w:pPr>
    </w:p>
    <w:p w14:paraId="081638B6">
      <w:pPr>
        <w:widowControl/>
        <w:kinsoku w:val="0"/>
        <w:autoSpaceDE w:val="0"/>
        <w:autoSpaceDN w:val="0"/>
        <w:adjustRightInd w:val="0"/>
        <w:snapToGrid w:val="0"/>
        <w:spacing w:before="217" w:beforeLines="50" w:line="240" w:lineRule="auto"/>
        <w:ind w:firstLine="0" w:firstLineChars="0"/>
        <w:textAlignment w:val="baseline"/>
        <w:rPr>
          <w:rStyle w:val="29"/>
          <w:rFonts w:hint="default" w:ascii="Times New Roman" w:hAnsi="Times New Roman" w:eastAsia="方正仿宋_GB2312" w:cs="Times New Roman"/>
          <w:b/>
          <w:snapToGrid w:val="0"/>
          <w:color w:val="000000" w:themeColor="text1"/>
          <w:spacing w:val="8"/>
          <w:sz w:val="28"/>
          <w:szCs w:val="28"/>
          <w:lang w:val="zh-CN"/>
          <w14:textFill>
            <w14:solidFill>
              <w14:schemeClr w14:val="tx1"/>
            </w14:solidFill>
          </w14:textFill>
        </w:rPr>
      </w:pPr>
    </w:p>
    <w:p w14:paraId="753F93FA">
      <w:pPr>
        <w:pStyle w:val="4"/>
        <w:tabs>
          <w:tab w:val="right" w:leader="dot" w:pos="9897"/>
        </w:tabs>
        <w:adjustRightInd w:val="0"/>
        <w:snapToGrid w:val="0"/>
        <w:spacing w:line="240" w:lineRule="auto"/>
        <w:rPr>
          <w:rFonts w:hint="default" w:ascii="Times New Roman" w:hAnsi="Times New Roman" w:eastAsia="方正仿宋_GB2312" w:cs="Times New Roman"/>
          <w:color w:val="000000" w:themeColor="text1"/>
          <w14:textFill>
            <w14:solidFill>
              <w14:schemeClr w14:val="tx1"/>
            </w14:solidFill>
          </w14:textFill>
        </w:rPr>
      </w:pPr>
      <w:r>
        <w:rPr>
          <w:rFonts w:hint="default" w:ascii="Times New Roman" w:hAnsi="Times New Roman" w:eastAsia="方正仿宋_GB2312" w:cs="Times New Roman"/>
          <w:b/>
          <w:bCs/>
          <w:color w:val="000000" w:themeColor="text1"/>
          <w:sz w:val="28"/>
          <w:szCs w:val="28"/>
          <w:lang w:val="zh-CN"/>
          <w14:textFill>
            <w14:solidFill>
              <w14:schemeClr w14:val="tx1"/>
            </w14:solidFill>
          </w14:textFill>
        </w:rPr>
        <w:br w:type="page"/>
      </w:r>
      <w:bookmarkStart w:id="0" w:name="_Toc146469063"/>
    </w:p>
    <w:bookmarkEnd w:id="0"/>
    <w:p w14:paraId="089B18C3">
      <w:pPr>
        <w:pStyle w:val="4"/>
        <w:numPr>
          <w:ilvl w:val="0"/>
          <w:numId w:val="5"/>
        </w:numPr>
        <w:tabs>
          <w:tab w:val="right" w:leader="dot" w:pos="9897"/>
        </w:tabs>
        <w:adjustRightInd w:val="0"/>
        <w:snapToGrid w:val="0"/>
        <w:spacing w:line="240" w:lineRule="auto"/>
        <w:ind w:left="0"/>
        <w:jc w:val="center"/>
        <w:rPr>
          <w:rFonts w:hint="default" w:ascii="Times New Roman" w:hAnsi="Times New Roman" w:eastAsia="方正仿宋_GB2312" w:cs="Times New Roman"/>
          <w:b/>
          <w:bCs/>
          <w:color w:val="000000" w:themeColor="text1"/>
          <w:kern w:val="2"/>
          <w:sz w:val="32"/>
          <w:szCs w:val="32"/>
          <w14:textFill>
            <w14:solidFill>
              <w14:schemeClr w14:val="tx1"/>
            </w14:solidFill>
          </w14:textFill>
        </w:rPr>
        <w:sectPr>
          <w:footerReference r:id="rId12" w:type="first"/>
          <w:footerReference r:id="rId11" w:type="default"/>
          <w:pgSz w:w="11906" w:h="16838"/>
          <w:pgMar w:top="1440" w:right="1800" w:bottom="1701" w:left="1800" w:header="851" w:footer="992" w:gutter="0"/>
          <w:pgNumType w:fmt="decimal" w:start="1"/>
          <w:cols w:space="720" w:num="1"/>
          <w:titlePg/>
          <w:docGrid w:type="lines" w:linePitch="435" w:charSpace="0"/>
        </w:sectPr>
      </w:pPr>
    </w:p>
    <w:p w14:paraId="39C2B795">
      <w:pPr>
        <w:pStyle w:val="3"/>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rPr>
      </w:pPr>
      <w:bookmarkStart w:id="1" w:name="_Toc25737"/>
      <w:r>
        <w:rPr>
          <w:rFonts w:hint="default" w:ascii="Times New Roman" w:hAnsi="Times New Roman" w:eastAsia="方正仿宋_GB2312" w:cs="Times New Roman"/>
          <w:lang w:val="en-US" w:eastAsia="zh-CN"/>
        </w:rPr>
        <w:t>第一章</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披露主体</w:t>
      </w:r>
      <w:bookmarkEnd w:id="1"/>
    </w:p>
    <w:p w14:paraId="40EF256B">
      <w:pPr>
        <w:pStyle w:val="5"/>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rPr>
      </w:pPr>
      <w:bookmarkStart w:id="2" w:name="_Toc28877"/>
      <w:r>
        <w:rPr>
          <w:rFonts w:hint="default" w:ascii="Times New Roman" w:hAnsi="Times New Roman" w:eastAsia="方正仿宋_GB2312" w:cs="Times New Roman"/>
        </w:rPr>
        <w:t>1.1编制说明</w:t>
      </w:r>
      <w:bookmarkEnd w:id="2"/>
    </w:p>
    <w:p w14:paraId="7C7A6491">
      <w:pPr>
        <w:pStyle w:val="6"/>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1.1.1关于本报告</w:t>
      </w:r>
    </w:p>
    <w:p w14:paraId="0EAE4803">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04"/>
        <w:textAlignment w:val="baseline"/>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本报告是</w:t>
      </w: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江苏盱眙农商银行股份有限公司</w:t>
      </w:r>
      <w:r>
        <w:rPr>
          <w:rFonts w:hint="default" w:ascii="Times New Roman" w:hAnsi="Times New Roman" w:eastAsia="方正仿宋_GB2312" w:cs="Times New Roman"/>
          <w:color w:val="000000" w:themeColor="text1"/>
          <w:spacing w:val="6"/>
          <w:sz w:val="24"/>
          <w14:textFill>
            <w14:solidFill>
              <w14:schemeClr w14:val="tx1"/>
            </w14:solidFill>
          </w14:textFill>
        </w:rPr>
        <w:t>（</w:t>
      </w:r>
      <w:r>
        <w:rPr>
          <w:rFonts w:hint="default" w:ascii="Times New Roman" w:hAnsi="Times New Roman" w:eastAsia="方正仿宋_GB2312" w:cs="Times New Roman"/>
          <w:color w:val="000000" w:themeColor="text1"/>
          <w:spacing w:val="6"/>
          <w:sz w:val="24"/>
          <w:lang w:val="en-US" w:eastAsia="zh-CN"/>
          <w14:textFill>
            <w14:solidFill>
              <w14:schemeClr w14:val="tx1"/>
            </w14:solidFill>
          </w14:textFill>
        </w:rPr>
        <w:t>报告中也</w:t>
      </w:r>
      <w:r>
        <w:rPr>
          <w:rFonts w:hint="default" w:ascii="Times New Roman" w:hAnsi="Times New Roman" w:eastAsia="方正仿宋_GB2312" w:cs="Times New Roman"/>
          <w:color w:val="000000" w:themeColor="text1"/>
          <w:spacing w:val="6"/>
          <w:sz w:val="24"/>
          <w14:textFill>
            <w14:solidFill>
              <w14:schemeClr w14:val="tx1"/>
            </w14:solidFill>
          </w14:textFill>
        </w:rPr>
        <w:t>简称</w:t>
      </w:r>
      <w:r>
        <w:rPr>
          <w:rFonts w:hint="default" w:ascii="Times New Roman" w:hAnsi="Times New Roman" w:eastAsia="方正仿宋_GB2312" w:cs="Times New Roman"/>
          <w:color w:val="000000" w:themeColor="text1"/>
          <w:spacing w:val="6"/>
          <w:sz w:val="24"/>
          <w:lang w:eastAsia="zh-CN"/>
          <w14:textFill>
            <w14:solidFill>
              <w14:schemeClr w14:val="tx1"/>
            </w14:solidFill>
          </w14:textFill>
        </w:rPr>
        <w:t>“</w:t>
      </w:r>
      <w:r>
        <w:rPr>
          <w:rFonts w:hint="default" w:ascii="Times New Roman" w:hAnsi="Times New Roman" w:eastAsia="方正仿宋_GB2312" w:cs="Times New Roman"/>
          <w:color w:val="000000" w:themeColor="text1"/>
          <w:spacing w:val="6"/>
          <w:sz w:val="24"/>
          <w:lang w:val="en-US" w:eastAsia="zh-CN"/>
          <w14:textFill>
            <w14:solidFill>
              <w14:schemeClr w14:val="tx1"/>
            </w14:solidFill>
          </w14:textFill>
        </w:rPr>
        <w:t>盱眙农商银行</w:t>
      </w:r>
      <w:r>
        <w:rPr>
          <w:rFonts w:hint="default" w:ascii="Times New Roman" w:hAnsi="Times New Roman" w:eastAsia="方正仿宋_GB2312" w:cs="Times New Roman"/>
          <w:color w:val="000000" w:themeColor="text1"/>
          <w:spacing w:val="6"/>
          <w:sz w:val="24"/>
          <w:lang w:eastAsia="zh-CN"/>
          <w14:textFill>
            <w14:solidFill>
              <w14:schemeClr w14:val="tx1"/>
            </w14:solidFill>
          </w14:textFill>
        </w:rPr>
        <w:t>”</w:t>
      </w:r>
      <w:r>
        <w:rPr>
          <w:rFonts w:hint="default" w:ascii="Times New Roman" w:hAnsi="Times New Roman" w:eastAsia="方正仿宋_GB2312" w:cs="Times New Roman"/>
          <w:color w:val="000000" w:themeColor="text1"/>
          <w:spacing w:val="6"/>
          <w:sz w:val="24"/>
          <w14:textFill>
            <w14:solidFill>
              <w14:schemeClr w14:val="tx1"/>
            </w14:solidFill>
          </w14:textFill>
        </w:rPr>
        <w:t>“</w:t>
      </w:r>
      <w:r>
        <w:rPr>
          <w:rFonts w:hint="default" w:ascii="Times New Roman" w:hAnsi="Times New Roman" w:eastAsia="方正仿宋_GB2312" w:cs="Times New Roman"/>
          <w:color w:val="000000" w:themeColor="text1"/>
          <w:spacing w:val="6"/>
          <w:sz w:val="24"/>
          <w:lang w:val="en-US" w:eastAsia="zh-CN"/>
          <w14:textFill>
            <w14:solidFill>
              <w14:schemeClr w14:val="tx1"/>
            </w14:solidFill>
          </w14:textFill>
        </w:rPr>
        <w:t>本行</w:t>
      </w:r>
      <w:r>
        <w:rPr>
          <w:rFonts w:hint="default" w:ascii="Times New Roman" w:hAnsi="Times New Roman" w:eastAsia="方正仿宋_GB2312" w:cs="Times New Roman"/>
          <w:color w:val="000000" w:themeColor="text1"/>
          <w:spacing w:val="6"/>
          <w:sz w:val="24"/>
          <w14:textFill>
            <w14:solidFill>
              <w14:schemeClr w14:val="tx1"/>
            </w14:solidFill>
          </w14:textFill>
        </w:rPr>
        <w:t>”）单独发布的环境信息披露报告。本报告阐述了202</w:t>
      </w:r>
      <w:r>
        <w:rPr>
          <w:rFonts w:hint="default" w:ascii="Times New Roman" w:hAnsi="Times New Roman" w:eastAsia="方正仿宋_GB2312" w:cs="Times New Roman"/>
          <w:color w:val="000000" w:themeColor="text1"/>
          <w:spacing w:val="6"/>
          <w:sz w:val="24"/>
          <w:lang w:val="en-US" w:eastAsia="zh-CN"/>
          <w14:textFill>
            <w14:solidFill>
              <w14:schemeClr w14:val="tx1"/>
            </w14:solidFill>
          </w14:textFill>
        </w:rPr>
        <w:t>5</w:t>
      </w:r>
      <w:r>
        <w:rPr>
          <w:rFonts w:hint="default" w:ascii="Times New Roman" w:hAnsi="Times New Roman" w:eastAsia="方正仿宋_GB2312" w:cs="Times New Roman"/>
          <w:color w:val="000000" w:themeColor="text1"/>
          <w:spacing w:val="6"/>
          <w:sz w:val="24"/>
          <w14:textFill>
            <w14:solidFill>
              <w14:schemeClr w14:val="tx1"/>
            </w14:solidFill>
          </w14:textFill>
        </w:rPr>
        <w:t>年度</w:t>
      </w: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江苏盱眙农商银行股份有限公司</w:t>
      </w:r>
      <w:r>
        <w:rPr>
          <w:rFonts w:hint="default" w:ascii="Times New Roman" w:hAnsi="Times New Roman" w:eastAsia="方正仿宋_GB2312" w:cs="Times New Roman"/>
          <w:color w:val="000000" w:themeColor="text1"/>
          <w:spacing w:val="6"/>
          <w:sz w:val="24"/>
          <w14:textFill>
            <w14:solidFill>
              <w14:schemeClr w14:val="tx1"/>
            </w14:solidFill>
          </w14:textFill>
        </w:rPr>
        <w:t>在环境信息披露方面的主要工作和成效，回应监管机构和各利益相关方的期望与关注，全面展示</w:t>
      </w:r>
      <w:r>
        <w:rPr>
          <w:rFonts w:hint="default" w:ascii="Times New Roman" w:hAnsi="Times New Roman" w:eastAsia="方正仿宋_GB2312" w:cs="Times New Roman"/>
          <w:color w:val="000000" w:themeColor="text1"/>
          <w:spacing w:val="6"/>
          <w:sz w:val="24"/>
          <w:lang w:eastAsia="zh-CN"/>
          <w14:textFill>
            <w14:solidFill>
              <w14:schemeClr w14:val="tx1"/>
            </w14:solidFill>
          </w14:textFill>
        </w:rPr>
        <w:t>了</w:t>
      </w:r>
      <w:r>
        <w:rPr>
          <w:rFonts w:hint="default" w:ascii="Times New Roman" w:hAnsi="Times New Roman" w:eastAsia="方正仿宋_GB2312" w:cs="Times New Roman"/>
          <w:color w:val="000000" w:themeColor="text1"/>
          <w:spacing w:val="6"/>
          <w:sz w:val="24"/>
          <w:lang w:val="en-US" w:eastAsia="zh-CN"/>
          <w14:textFill>
            <w14:solidFill>
              <w14:schemeClr w14:val="tx1"/>
            </w14:solidFill>
          </w14:textFill>
        </w:rPr>
        <w:t>盱眙农商银行</w:t>
      </w:r>
      <w:r>
        <w:rPr>
          <w:rFonts w:hint="default" w:ascii="Times New Roman" w:hAnsi="Times New Roman" w:eastAsia="方正仿宋_GB2312" w:cs="Times New Roman"/>
          <w:color w:val="000000" w:themeColor="text1"/>
          <w:spacing w:val="6"/>
          <w:sz w:val="24"/>
          <w14:textFill>
            <w14:solidFill>
              <w14:schemeClr w14:val="tx1"/>
            </w14:solidFill>
          </w14:textFill>
        </w:rPr>
        <w:t>在环境信息披露方面的积极态度与行动。</w:t>
      </w:r>
    </w:p>
    <w:p w14:paraId="20D9A92D">
      <w:pPr>
        <w:pStyle w:val="6"/>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1.1.2报告范围</w:t>
      </w:r>
    </w:p>
    <w:p w14:paraId="2AD5FEE0">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04"/>
        <w:textAlignment w:val="baseline"/>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本报告为年度报告。时间范围涵盖202</w:t>
      </w:r>
      <w:r>
        <w:rPr>
          <w:rFonts w:hint="default" w:ascii="Times New Roman" w:hAnsi="Times New Roman" w:eastAsia="方正仿宋_GB2312" w:cs="Times New Roman"/>
          <w:snapToGrid w:val="0"/>
          <w:color w:val="000000" w:themeColor="text1"/>
          <w:spacing w:val="6"/>
          <w:kern w:val="0"/>
          <w:sz w:val="24"/>
          <w:szCs w:val="24"/>
          <w:lang w:val="en-US" w:eastAsia="zh-CN"/>
          <w14:textFill>
            <w14:solidFill>
              <w14:schemeClr w14:val="tx1"/>
            </w14:solidFill>
          </w14:textFill>
        </w:rPr>
        <w:t>5</w:t>
      </w: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年01月01日至202</w:t>
      </w:r>
      <w:r>
        <w:rPr>
          <w:rFonts w:hint="default" w:ascii="Times New Roman" w:hAnsi="Times New Roman" w:eastAsia="方正仿宋_GB2312" w:cs="Times New Roman"/>
          <w:snapToGrid w:val="0"/>
          <w:color w:val="000000" w:themeColor="text1"/>
          <w:spacing w:val="6"/>
          <w:kern w:val="0"/>
          <w:sz w:val="24"/>
          <w:szCs w:val="24"/>
          <w:lang w:val="en-US" w:eastAsia="zh-CN"/>
          <w14:textFill>
            <w14:solidFill>
              <w14:schemeClr w14:val="tx1"/>
            </w14:solidFill>
          </w14:textFill>
        </w:rPr>
        <w:t>5</w:t>
      </w: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年12月31日，部分信息涉及以往年度。除另有注明外，本报告以</w:t>
      </w: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江苏盱眙农商银行股份有限公司</w:t>
      </w:r>
      <w:r>
        <w:rPr>
          <w:rFonts w:hint="default" w:ascii="Times New Roman" w:hAnsi="Times New Roman" w:eastAsia="方正仿宋_GB2312" w:cs="Times New Roman"/>
          <w:color w:val="000000" w:themeColor="text1"/>
          <w:spacing w:val="6"/>
          <w:sz w:val="24"/>
          <w14:textFill>
            <w14:solidFill>
              <w14:schemeClr w14:val="tx1"/>
            </w14:solidFill>
          </w14:textFill>
        </w:rPr>
        <w:t>为主体，包含下辖分支机构数据。</w:t>
      </w:r>
    </w:p>
    <w:p w14:paraId="472E3DB1">
      <w:pPr>
        <w:pStyle w:val="6"/>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1.1.3编写依据</w:t>
      </w:r>
    </w:p>
    <w:p w14:paraId="76F0C552">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04"/>
        <w:textAlignment w:val="baseline"/>
        <w:rPr>
          <w:rFonts w:hint="default" w:ascii="Times New Roman" w:hAnsi="Times New Roman" w:eastAsia="方正仿宋_GB2312" w:cs="Times New Roman"/>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本报告根据《金融机构环境信息披露指南》（JR/T0227-2021</w:t>
      </w: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、《金融机构碳核算技术指南（试行）》（银办发〔2021〕119号）和《江苏省银行业金融机构环境信息披露指引（试行）》（苏银发〔2024〕49号）的要求进行</w:t>
      </w:r>
      <w:r>
        <w:rPr>
          <w:rFonts w:hint="default" w:ascii="Times New Roman" w:hAnsi="Times New Roman" w:eastAsia="方正仿宋_GB2312" w:cs="Times New Roman"/>
          <w:snapToGrid w:val="0"/>
          <w:color w:val="000000" w:themeColor="text1"/>
          <w:spacing w:val="6"/>
          <w:kern w:val="0"/>
          <w:sz w:val="24"/>
          <w:szCs w:val="24"/>
          <w:lang w:val="en-US" w:eastAsia="zh-CN"/>
          <w14:textFill>
            <w14:solidFill>
              <w14:schemeClr w14:val="tx1"/>
            </w14:solidFill>
          </w14:textFill>
        </w:rPr>
        <w:t>核算</w:t>
      </w: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编制，并参考碳核算金融联盟（PCAF）《金融行业温室气体核算和披露全球性标准》</w:t>
      </w:r>
      <w:r>
        <w:rPr>
          <w:rFonts w:hint="default" w:ascii="Times New Roman" w:hAnsi="Times New Roman" w:eastAsia="方正仿宋_GB2312" w:cs="Times New Roman"/>
          <w:bCs/>
          <w:snapToGrid w:val="0"/>
          <w:color w:val="000000" w:themeColor="text1"/>
          <w:spacing w:val="6"/>
          <w:kern w:val="0"/>
          <w:sz w:val="24"/>
          <w:szCs w:val="24"/>
          <w14:textFill>
            <w14:solidFill>
              <w14:schemeClr w14:val="tx1"/>
            </w14:solidFill>
          </w14:textFill>
        </w:rPr>
        <w:t>。</w:t>
      </w:r>
    </w:p>
    <w:p w14:paraId="7DD59AA1">
      <w:pPr>
        <w:pStyle w:val="5"/>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rPr>
      </w:pPr>
      <w:bookmarkStart w:id="3" w:name="_Toc29770"/>
      <w:r>
        <w:rPr>
          <w:rFonts w:hint="default" w:ascii="Times New Roman" w:hAnsi="Times New Roman" w:eastAsia="方正仿宋_GB2312" w:cs="Times New Roman"/>
        </w:rPr>
        <w:t>1.2基本信息</w:t>
      </w:r>
      <w:bookmarkEnd w:id="3"/>
    </w:p>
    <w:p w14:paraId="21D77B34">
      <w:pPr>
        <w:pStyle w:val="6"/>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1.2.1基本信息</w:t>
      </w:r>
    </w:p>
    <w:p w14:paraId="7AA3A448">
      <w:pPr>
        <w:keepNext w:val="0"/>
        <w:keepLines w:val="0"/>
        <w:pageBreakBefore w:val="0"/>
        <w:widowControl/>
        <w:kinsoku w:val="0"/>
        <w:wordWrap/>
        <w:overflowPunct/>
        <w:topLinePunct w:val="0"/>
        <w:autoSpaceDE w:val="0"/>
        <w:autoSpaceDN w:val="0"/>
        <w:bidi w:val="0"/>
        <w:adjustRightInd w:val="0"/>
        <w:snapToGrid w:val="0"/>
        <w:spacing w:before="0" w:beforeLines="0" w:line="560" w:lineRule="exact"/>
        <w:ind w:firstLine="504"/>
        <w:textAlignment w:val="baseline"/>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机构名称：</w:t>
      </w: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江苏盱眙农商银行股份有限公司</w:t>
      </w:r>
    </w:p>
    <w:p w14:paraId="405E0275">
      <w:pPr>
        <w:keepNext w:val="0"/>
        <w:keepLines w:val="0"/>
        <w:pageBreakBefore w:val="0"/>
        <w:widowControl/>
        <w:kinsoku w:val="0"/>
        <w:wordWrap/>
        <w:overflowPunct/>
        <w:topLinePunct w:val="0"/>
        <w:autoSpaceDE w:val="0"/>
        <w:autoSpaceDN w:val="0"/>
        <w:bidi w:val="0"/>
        <w:adjustRightInd w:val="0"/>
        <w:snapToGrid w:val="0"/>
        <w:spacing w:before="0" w:beforeLines="0" w:line="560" w:lineRule="exact"/>
        <w:ind w:firstLine="504"/>
        <w:textAlignment w:val="baseline"/>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单位性质：股份有限公司</w:t>
      </w:r>
    </w:p>
    <w:p w14:paraId="13396029">
      <w:pPr>
        <w:keepNext w:val="0"/>
        <w:keepLines w:val="0"/>
        <w:pageBreakBefore w:val="0"/>
        <w:widowControl/>
        <w:kinsoku w:val="0"/>
        <w:wordWrap/>
        <w:overflowPunct/>
        <w:topLinePunct w:val="0"/>
        <w:autoSpaceDE w:val="0"/>
        <w:autoSpaceDN w:val="0"/>
        <w:bidi w:val="0"/>
        <w:adjustRightInd w:val="0"/>
        <w:snapToGrid w:val="0"/>
        <w:spacing w:before="0" w:beforeLines="0" w:line="560" w:lineRule="exact"/>
        <w:ind w:firstLine="504"/>
        <w:textAlignment w:val="baseline"/>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所属行业：金融业&gt;货币金融服务</w:t>
      </w: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ab/>
      </w:r>
    </w:p>
    <w:p w14:paraId="60213868">
      <w:pPr>
        <w:keepNext w:val="0"/>
        <w:keepLines w:val="0"/>
        <w:pageBreakBefore w:val="0"/>
        <w:widowControl/>
        <w:kinsoku w:val="0"/>
        <w:wordWrap/>
        <w:overflowPunct/>
        <w:topLinePunct w:val="0"/>
        <w:autoSpaceDE w:val="0"/>
        <w:autoSpaceDN w:val="0"/>
        <w:bidi w:val="0"/>
        <w:adjustRightInd w:val="0"/>
        <w:snapToGrid w:val="0"/>
        <w:spacing w:before="0" w:beforeLines="0" w:line="560" w:lineRule="exact"/>
        <w:ind w:firstLine="504"/>
        <w:textAlignment w:val="baseline"/>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lang w:val="en-US" w:eastAsia="zh-CN"/>
          <w14:textFill>
            <w14:solidFill>
              <w14:schemeClr w14:val="tx1"/>
            </w14:solidFill>
          </w14:textFill>
        </w:rPr>
        <w:t>统一社会信用代码</w:t>
      </w: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：91320800595585940R</w:t>
      </w:r>
    </w:p>
    <w:p w14:paraId="4BDFB006">
      <w:pPr>
        <w:keepNext w:val="0"/>
        <w:keepLines w:val="0"/>
        <w:pageBreakBefore w:val="0"/>
        <w:widowControl/>
        <w:kinsoku w:val="0"/>
        <w:wordWrap/>
        <w:overflowPunct/>
        <w:topLinePunct w:val="0"/>
        <w:autoSpaceDE w:val="0"/>
        <w:autoSpaceDN w:val="0"/>
        <w:bidi w:val="0"/>
        <w:adjustRightInd w:val="0"/>
        <w:snapToGrid w:val="0"/>
        <w:spacing w:before="0" w:beforeLines="0" w:line="560" w:lineRule="exact"/>
        <w:ind w:firstLine="504"/>
        <w:textAlignment w:val="baseline"/>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联系电话：0517-88265342</w:t>
      </w:r>
    </w:p>
    <w:p w14:paraId="27279442">
      <w:pPr>
        <w:keepNext w:val="0"/>
        <w:keepLines w:val="0"/>
        <w:pageBreakBefore w:val="0"/>
        <w:widowControl/>
        <w:kinsoku w:val="0"/>
        <w:wordWrap/>
        <w:overflowPunct/>
        <w:topLinePunct w:val="0"/>
        <w:autoSpaceDE w:val="0"/>
        <w:autoSpaceDN w:val="0"/>
        <w:bidi w:val="0"/>
        <w:adjustRightInd w:val="0"/>
        <w:snapToGrid w:val="0"/>
        <w:spacing w:before="0" w:beforeLines="0" w:line="560" w:lineRule="exact"/>
        <w:ind w:firstLine="504"/>
        <w:textAlignment w:val="baseline"/>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地址：江苏省盱眙县合欢大道2号</w:t>
      </w:r>
    </w:p>
    <w:p w14:paraId="0A85F28E">
      <w:pPr>
        <w:pStyle w:val="6"/>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rPr>
      </w:pPr>
      <w:r>
        <w:rPr>
          <w:rFonts w:hint="default" w:ascii="Times New Roman" w:hAnsi="Times New Roman" w:eastAsia="方正仿宋_GB2312" w:cs="Times New Roman"/>
        </w:rPr>
        <w:t>1.2.2机构介绍</w:t>
      </w:r>
    </w:p>
    <w:p w14:paraId="03EE8AE9">
      <w:pPr>
        <w:pStyle w:val="2"/>
        <w:keepNext w:val="0"/>
        <w:keepLines w:val="0"/>
        <w:pageBreakBefore w:val="0"/>
        <w:widowControl/>
        <w:wordWrap/>
        <w:overflowPunct/>
        <w:topLinePunct w:val="0"/>
        <w:bidi w:val="0"/>
        <w:adjustRightInd w:val="0"/>
        <w:snapToGrid w:val="0"/>
        <w:spacing w:line="560" w:lineRule="exact"/>
        <w:ind w:left="0" w:leftChars="0" w:firstLine="504" w:firstLineChars="200"/>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江苏盱眙农商银行股份有限公司成立于2012年4月26日，是由境内906名股东注资16000万元共同发起设立的独立法人金融机构，其前身为江苏盱眙农村合作银行，是在有着逾50年历史的盱眙县农村信用社基础上整体改制而成的永久存续的股份制商业银行。</w:t>
      </w:r>
    </w:p>
    <w:p w14:paraId="276CD403">
      <w:pPr>
        <w:pStyle w:val="2"/>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盱眙农商银行是盱眙地区营业网点最多、业务规模最大、服务领域最广的银行，是淮安和江苏金融的重要组成部分。</w:t>
      </w:r>
    </w:p>
    <w:p w14:paraId="4C06C105">
      <w:pPr>
        <w:pStyle w:val="2"/>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盱眙农商银行围绕金融改革发展和盱眙经济社会发展的契机，确立了建设公司治理完善、机构布局合理、业务功能齐全，资本充足、管理精细、风险可控、业绩优良的区域性品牌银行的发展战略；着力培育一支诚信为本、追求卓越的员工队伍，致力打造品牌卓越银行，立足“三农”、服务市民百姓、服务小微企业、服务县域经济，努力为新农村建设和广大客户提供最具价值的金融服务。</w:t>
      </w:r>
    </w:p>
    <w:p w14:paraId="54E4AED9">
      <w:pPr>
        <w:pStyle w:val="2"/>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highlight w:val="none"/>
          <w:lang w:val="en-US" w:eastAsia="zh-CN"/>
        </w:rPr>
      </w:pP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作为盱眙本土银行、盱眙人自己的银行，不管市场风云如何变幻，盱眙农商银行始终以坚毅的步伐、执着的激情陪伴在您的身边，愿为社会各界提供无微不至的金融服务。</w:t>
      </w:r>
    </w:p>
    <w:p w14:paraId="58B6EAE2">
      <w:pPr>
        <w:widowControl/>
        <w:kinsoku w:val="0"/>
        <w:autoSpaceDE w:val="0"/>
        <w:autoSpaceDN w:val="0"/>
        <w:adjustRightInd w:val="0"/>
        <w:snapToGrid w:val="0"/>
        <w:spacing w:before="217" w:beforeLines="50" w:line="240" w:lineRule="auto"/>
        <w:ind w:left="0" w:leftChars="0" w:firstLine="0" w:firstLineChars="0"/>
        <w:textAlignment w:val="baseline"/>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sectPr>
          <w:headerReference r:id="rId13" w:type="first"/>
          <w:footerReference r:id="rId14" w:type="default"/>
          <w:type w:val="continuous"/>
          <w:pgSz w:w="11906" w:h="16838"/>
          <w:pgMar w:top="1701" w:right="1701" w:bottom="1440" w:left="1701" w:header="851" w:footer="992" w:gutter="0"/>
          <w:pgNumType w:fmt="decimal"/>
          <w:cols w:space="720" w:num="1"/>
          <w:docGrid w:type="lines" w:linePitch="435" w:charSpace="0"/>
        </w:sectPr>
      </w:pPr>
    </w:p>
    <w:p w14:paraId="55CB0784">
      <w:pPr>
        <w:pStyle w:val="3"/>
        <w:keepNext w:val="0"/>
        <w:keepLines w:val="0"/>
        <w:pageBreakBefore w:val="0"/>
        <w:widowControl/>
        <w:wordWrap/>
        <w:overflowPunct/>
        <w:topLinePunct w:val="0"/>
        <w:bidi w:val="0"/>
        <w:adjustRightInd w:val="0"/>
        <w:snapToGrid w:val="0"/>
        <w:spacing w:line="560" w:lineRule="exact"/>
        <w:rPr>
          <w:rFonts w:hint="default" w:ascii="Times New Roman" w:hAnsi="Times New Roman" w:eastAsia="方正仿宋_GB2312" w:cs="Times New Roman"/>
          <w:lang w:val="en-US" w:eastAsia="zh-CN"/>
        </w:rPr>
      </w:pPr>
      <w:bookmarkStart w:id="4" w:name="_Toc20395"/>
      <w:r>
        <w:rPr>
          <w:rFonts w:hint="default" w:ascii="Times New Roman" w:hAnsi="Times New Roman" w:eastAsia="方正仿宋_GB2312" w:cs="Times New Roman"/>
          <w:lang w:val="en-US" w:eastAsia="zh-CN"/>
        </w:rPr>
        <w:t>第二章</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lang w:val="en-US" w:eastAsia="zh-CN"/>
        </w:rPr>
        <w:t>年度概况</w:t>
      </w:r>
      <w:bookmarkEnd w:id="4"/>
    </w:p>
    <w:p w14:paraId="052AD3F6">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bookmarkStart w:id="5" w:name="_Toc12269"/>
      <w:r>
        <w:rPr>
          <w:rFonts w:hint="default" w:ascii="Times New Roman" w:hAnsi="Times New Roman" w:eastAsia="方正仿宋_GB2312" w:cs="Times New Roman"/>
        </w:rPr>
        <w:t>2.1目标愿景</w:t>
      </w:r>
      <w:bookmarkEnd w:id="5"/>
    </w:p>
    <w:p w14:paraId="2E397622">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color w:val="000000" w:themeColor="text1"/>
          <w:spacing w:val="6"/>
          <w:sz w:val="24"/>
          <w:lang w:val="en-US" w:eastAsia="zh-CN"/>
          <w14:textFill>
            <w14:solidFill>
              <w14:schemeClr w14:val="tx1"/>
            </w14:solidFill>
          </w14:textFill>
        </w:rPr>
        <w:t>盱眙农商银行</w:t>
      </w:r>
      <w:r>
        <w:rPr>
          <w:rFonts w:hint="default" w:ascii="Times New Roman" w:hAnsi="Times New Roman" w:eastAsia="方正仿宋_GB2312" w:cs="Times New Roman"/>
          <w:lang w:val="en-US" w:eastAsia="zh-CN"/>
        </w:rPr>
        <w:t>以国家产业政策和环保政策为指引，对标国际标准，将可持续发展理念融入经营战略、政策与操作规程全流程，通过优化资源配置，构建起金融服务与环境、社会、经济协同发展的治理体系，成为推动我国可持续发展的重要金融力量。​</w:t>
      </w:r>
    </w:p>
    <w:p w14:paraId="73E28083">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在组织架构上，本行拟设立专业化的环境保护机构，以体系化、规范化的管理模式，统筹推进各项环保工作，确保环境责任层层落实。制定科学完善的资源节约与环境保护计划，从日常营运入手，降低对环境的负面影响；通过常态化、多样化的环保培训，激发员工环保热情，鼓励其积极参与外部交流合作，培育一支具有高度环保责任感与专业素养的人才队伍。​</w:t>
      </w:r>
    </w:p>
    <w:p w14:paraId="1A75D84E">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在金融服务领域，本行充分发挥信贷等金融工具的杠杆作用，精准支持客户开展资源节约、环境保护项目，引导树立绿色发展理念，强化社会责任担当，推动形成全社会共同参与环保的良好氛围。此外，本行积极投身环境保护实践与宣传活动，以实际行动影响和带动更多主体关注环境问题，共同守护地球家园，为实现人与自然和谐共生的美好愿景贡献金融智慧与力量。</w:t>
      </w:r>
    </w:p>
    <w:p w14:paraId="3600E969">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bookmarkStart w:id="6" w:name="_Toc3107"/>
      <w:r>
        <w:rPr>
          <w:rFonts w:hint="default" w:ascii="Times New Roman" w:hAnsi="Times New Roman" w:eastAsia="方正仿宋_GB2312" w:cs="Times New Roman"/>
        </w:rPr>
        <w:t>2.2战略规划</w:t>
      </w:r>
      <w:bookmarkEnd w:id="6"/>
    </w:p>
    <w:p w14:paraId="495AC4BC">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04"/>
        <w:textAlignment w:val="baseline"/>
        <w:rPr>
          <w:rFonts w:hint="default" w:ascii="Times New Roman" w:hAnsi="Times New Roman" w:eastAsia="方正仿宋_GB2312" w:cs="Times New Roman"/>
          <w:b w:val="0"/>
          <w:bCs/>
          <w:snapToGrid w:val="0"/>
          <w:color w:val="auto"/>
          <w:spacing w:val="6"/>
          <w:kern w:val="0"/>
          <w:sz w:val="24"/>
          <w:szCs w:val="24"/>
          <w:lang w:val="en-US" w:eastAsia="zh-CN"/>
        </w:rPr>
      </w:pPr>
      <w:r>
        <w:rPr>
          <w:rFonts w:hint="default" w:ascii="Times New Roman" w:hAnsi="Times New Roman" w:eastAsia="方正仿宋_GB2312" w:cs="Times New Roman"/>
          <w:b w:val="0"/>
          <w:bCs/>
          <w:snapToGrid w:val="0"/>
          <w:color w:val="auto"/>
          <w:spacing w:val="6"/>
          <w:kern w:val="0"/>
          <w:sz w:val="24"/>
          <w:szCs w:val="24"/>
          <w:lang w:val="en-US" w:eastAsia="zh-CN"/>
        </w:rPr>
        <w:t>在“双碳”目标和绿色金融政策背景下，本行制定2024-2026年绿色金融战略规划，规划提出本行要构建完善的绿色金融治理体系，推动绿色信贷增长与结构优化，支持地方绿色经济。重点支持绿色农业、节能环保、乡村生态振兴、清洁低碳能源体系建设领域；组织与机制上，优化架构、建立协同机制、完善考核评价；政策制度与能力建设方面，完善制度、提升员工专业能力；产品服务进行创新，开辟绿色通道、运用科技手段；风险管理强化调查审查与贷后管理，规范信息披露；实施保障涵盖资源、科技、监督评估等方面，以推动绿色金融发展，助力经济社会可持续发展。</w:t>
      </w:r>
    </w:p>
    <w:p w14:paraId="16435C9E">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bookmarkStart w:id="7" w:name="_Toc17411"/>
      <w:r>
        <w:rPr>
          <w:rFonts w:hint="default" w:ascii="Times New Roman" w:hAnsi="Times New Roman" w:eastAsia="方正仿宋_GB2312" w:cs="Times New Roman"/>
        </w:rPr>
        <w:t>2.3政策内容</w:t>
      </w:r>
      <w:bookmarkEnd w:id="7"/>
    </w:p>
    <w:p w14:paraId="5B72B602">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lang w:eastAsia="zh-CN"/>
        </w:rPr>
        <w:t>（</w:t>
      </w:r>
      <w:r>
        <w:rPr>
          <w:rFonts w:hint="default" w:ascii="Times New Roman" w:hAnsi="Times New Roman" w:eastAsia="方正仿宋_GB2312" w:cs="Times New Roman"/>
          <w:lang w:val="en-US" w:eastAsia="zh-CN"/>
        </w:rPr>
        <w:t>1</w:t>
      </w:r>
      <w:r>
        <w:rPr>
          <w:rFonts w:hint="default" w:ascii="Times New Roman" w:hAnsi="Times New Roman" w:eastAsia="方正仿宋_GB2312" w:cs="Times New Roman"/>
          <w:lang w:eastAsia="zh-CN"/>
        </w:rPr>
        <w:t>）全力支持绿色农业发展</w:t>
      </w:r>
      <w:r>
        <w:rPr>
          <w:rFonts w:hint="eastAsia" w:ascii="Times New Roman" w:hAnsi="Times New Roman" w:eastAsia="方正仿宋_GB2312" w:cs="Times New Roman"/>
          <w:lang w:val="en-US" w:eastAsia="zh-CN"/>
        </w:rPr>
        <w:t>：</w:t>
      </w:r>
      <w:r>
        <w:rPr>
          <w:rFonts w:hint="default" w:ascii="Times New Roman" w:hAnsi="Times New Roman" w:eastAsia="方正仿宋_GB2312" w:cs="Times New Roman"/>
        </w:rPr>
        <w:t>围绕农业供给侧结构性改革主线，以 “阳光信贷” 为重要抓手，推动普惠金融与绿色农业深度融合、和谐发展。聚焦农村生态保护和资源节约关键领域，重点支持生态种植、养殖、农业废弃物资源化利用等绿色农业项目，加大对新型农业经营主体的绿色信贷投放力度。通过优化信贷流程、降低融资成本，引导农业产业向绿色化、生态化转型，实现农业生产发展、农民生活富裕、农村生态良好的良性互动。</w:t>
      </w:r>
    </w:p>
    <w:p w14:paraId="7394E666">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lang w:eastAsia="zh-CN"/>
        </w:rPr>
        <w:t>（</w:t>
      </w:r>
      <w:r>
        <w:rPr>
          <w:rFonts w:hint="default" w:ascii="Times New Roman" w:hAnsi="Times New Roman" w:eastAsia="方正仿宋_GB2312" w:cs="Times New Roman"/>
          <w:lang w:val="en-US" w:eastAsia="zh-CN"/>
        </w:rPr>
        <w:t>2</w:t>
      </w:r>
      <w:r>
        <w:rPr>
          <w:rFonts w:hint="default" w:ascii="Times New Roman" w:hAnsi="Times New Roman" w:eastAsia="方正仿宋_GB2312" w:cs="Times New Roman"/>
          <w:lang w:eastAsia="zh-CN"/>
        </w:rPr>
        <w:t>）重点支持节能环保产业发展</w:t>
      </w:r>
      <w:r>
        <w:rPr>
          <w:rFonts w:hint="eastAsia" w:ascii="Times New Roman" w:hAnsi="Times New Roman" w:eastAsia="方正仿宋_GB2312" w:cs="Times New Roman"/>
          <w:lang w:eastAsia="zh-CN"/>
        </w:rPr>
        <w:t>：</w:t>
      </w:r>
      <w:r>
        <w:rPr>
          <w:rFonts w:hint="default" w:ascii="Times New Roman" w:hAnsi="Times New Roman" w:eastAsia="方正仿宋_GB2312" w:cs="Times New Roman"/>
        </w:rPr>
        <w:t>将节能环保产业作为绿色金融支持的核心领域之一，加大融资支持力度。积极创新担保方式，大力开展应收账款质押、股权质押等融资业务，解决节能环保企业抵押担保不足的难题。重点支持污水处理、固废处理、大气污染防治、节能装备制造等细分领域企业发展，助力企业技术升级与产能扩张，推动低碳经济、循环经济落地见效，为区域生态环境质量改善提供金融支撑。</w:t>
      </w:r>
    </w:p>
    <w:p w14:paraId="27C80D38">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lang w:eastAsia="zh-CN"/>
        </w:rPr>
        <w:t>（</w:t>
      </w:r>
      <w:r>
        <w:rPr>
          <w:rFonts w:hint="default" w:ascii="Times New Roman" w:hAnsi="Times New Roman" w:eastAsia="方正仿宋_GB2312" w:cs="Times New Roman"/>
          <w:lang w:val="en-US" w:eastAsia="zh-CN"/>
        </w:rPr>
        <w:t>3</w:t>
      </w:r>
      <w:r>
        <w:rPr>
          <w:rFonts w:hint="default" w:ascii="Times New Roman" w:hAnsi="Times New Roman" w:eastAsia="方正仿宋_GB2312" w:cs="Times New Roman"/>
          <w:lang w:eastAsia="zh-CN"/>
        </w:rPr>
        <w:t>）</w:t>
      </w:r>
      <w:r>
        <w:rPr>
          <w:rFonts w:hint="default" w:ascii="Times New Roman" w:hAnsi="Times New Roman" w:eastAsia="方正仿宋_GB2312" w:cs="Times New Roman"/>
        </w:rPr>
        <w:t>积极支持绿色新兴产业发展：主动对接绿色新兴产业发展需求，助力产业做强做大。针对新兴产业企业特点，积极推广注册商标专用权、专利权等知识产权质押贷款产品，有效破解企业融资难题。重点支持新材料、节能型和新能源汽车、节能环保</w:t>
      </w:r>
      <w:r>
        <w:rPr>
          <w:rFonts w:hint="default" w:ascii="Times New Roman" w:hAnsi="Times New Roman" w:eastAsia="方正仿宋_GB2312" w:cs="Times New Roman"/>
        </w:rPr>
        <w:t>装</w:t>
      </w:r>
      <w:r>
        <w:rPr>
          <w:rFonts w:hint="default" w:ascii="Times New Roman" w:hAnsi="Times New Roman" w:eastAsia="方正仿宋_GB2312" w:cs="Times New Roman"/>
        </w:rPr>
        <w:t>备、互联网技术和物联网等战略性新兴产业，通过信贷资金引导，推动企业在技术创新、模式创新、环境治理等方面实现突破，加速生产方式绿色变革。持续提高绿色供给体系质量和效率，促进产业结构绿色转型，以产业优化升级带动区域环境质量持续改善。</w:t>
      </w:r>
    </w:p>
    <w:p w14:paraId="29055E44">
      <w:pPr>
        <w:pStyle w:val="2"/>
        <w:rPr>
          <w:rFonts w:hint="default" w:ascii="Times New Roman" w:hAnsi="Times New Roman" w:eastAsia="方正仿宋_GB2312" w:cs="Times New Roman"/>
          <w:b w:val="0"/>
          <w:bCs/>
          <w:snapToGrid w:val="0"/>
          <w:color w:val="auto"/>
          <w:spacing w:val="6"/>
          <w:kern w:val="0"/>
          <w:sz w:val="24"/>
          <w:szCs w:val="24"/>
          <w:highlight w:val="none"/>
          <w:lang w:val="en-US" w:eastAsia="zh-CN"/>
        </w:rPr>
      </w:pPr>
    </w:p>
    <w:p w14:paraId="3944FD0E">
      <w:pPr>
        <w:ind w:firstLine="504"/>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br w:type="page"/>
      </w:r>
    </w:p>
    <w:p w14:paraId="63324C25">
      <w:pPr>
        <w:pStyle w:val="3"/>
        <w:bidi w:val="0"/>
        <w:rPr>
          <w:rFonts w:hint="default" w:ascii="Times New Roman" w:hAnsi="Times New Roman" w:eastAsia="方正仿宋_GB2312" w:cs="Times New Roman"/>
          <w:lang w:val="en-US" w:eastAsia="zh-CN"/>
        </w:rPr>
      </w:pPr>
      <w:bookmarkStart w:id="8" w:name="_Toc11406"/>
      <w:r>
        <w:rPr>
          <w:rFonts w:hint="default" w:ascii="Times New Roman" w:hAnsi="Times New Roman" w:eastAsia="方正仿宋_GB2312" w:cs="Times New Roman"/>
          <w:lang w:val="en-US" w:eastAsia="zh-CN"/>
        </w:rPr>
        <w:t>第三章</w:t>
      </w:r>
      <w:r>
        <w:rPr>
          <w:rFonts w:hint="eastAsia" w:ascii="Times New Roman" w:hAnsi="Times New Roman" w:eastAsia="方正仿宋_GB2312" w:cs="Times New Roman"/>
          <w:lang w:val="en-US" w:eastAsia="zh-CN"/>
        </w:rPr>
        <w:t xml:space="preserve"> </w:t>
      </w:r>
      <w:r>
        <w:rPr>
          <w:rFonts w:hint="default" w:ascii="Times New Roman" w:hAnsi="Times New Roman" w:eastAsia="方正仿宋_GB2312" w:cs="Times New Roman"/>
          <w:lang w:val="en-US" w:eastAsia="zh-CN"/>
        </w:rPr>
        <w:t>治理结构</w:t>
      </w:r>
      <w:bookmarkEnd w:id="8"/>
    </w:p>
    <w:p w14:paraId="3BA20F1A">
      <w:pPr>
        <w:pStyle w:val="5"/>
        <w:bidi w:val="0"/>
        <w:rPr>
          <w:rFonts w:hint="default" w:ascii="Times New Roman" w:hAnsi="Times New Roman" w:eastAsia="方正仿宋_GB2312" w:cs="Times New Roman"/>
          <w:lang w:val="en-US" w:eastAsia="zh-CN"/>
        </w:rPr>
      </w:pPr>
      <w:bookmarkStart w:id="9" w:name="_Toc15566"/>
      <w:bookmarkStart w:id="10" w:name="_Toc8538"/>
      <w:r>
        <w:rPr>
          <w:rFonts w:hint="default" w:ascii="Times New Roman" w:hAnsi="Times New Roman" w:eastAsia="方正仿宋_GB2312" w:cs="Times New Roman"/>
          <w:lang w:val="en-US" w:eastAsia="zh-CN"/>
        </w:rPr>
        <w:t>3.1</w:t>
      </w:r>
      <w:bookmarkEnd w:id="9"/>
      <w:r>
        <w:rPr>
          <w:rFonts w:hint="default" w:ascii="Times New Roman" w:hAnsi="Times New Roman" w:eastAsia="方正仿宋_GB2312" w:cs="Times New Roman"/>
          <w:lang w:val="en-US" w:eastAsia="zh-CN"/>
        </w:rPr>
        <w:t>组织结构</w:t>
      </w:r>
      <w:bookmarkEnd w:id="10"/>
    </w:p>
    <w:p w14:paraId="7F532CF9">
      <w:pPr>
        <w:bidi w:val="0"/>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盱眙农商银行的治理架构如下：</w:t>
      </w:r>
    </w:p>
    <w:tbl>
      <w:tblPr>
        <w:tblStyle w:val="2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7830"/>
      </w:tblGrid>
      <w:tr w14:paraId="236B3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A79208D">
            <w:pPr>
              <w:bidi w:val="0"/>
              <w:snapToGrid w:val="0"/>
              <w:spacing w:before="0" w:beforeLines="0"/>
              <w:ind w:left="0" w:leftChars="0" w:firstLine="0" w:firstLineChars="0"/>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股东大会</w:t>
            </w:r>
          </w:p>
        </w:tc>
        <w:tc>
          <w:tcPr>
            <w:tcW w:w="7830" w:type="dxa"/>
            <w:vAlign w:val="center"/>
          </w:tcPr>
          <w:p w14:paraId="0E0AA810">
            <w:pPr>
              <w:bidi w:val="0"/>
              <w:snapToGrid w:val="0"/>
              <w:spacing w:before="0" w:beforeLines="0"/>
              <w:ind w:firstLine="504" w:firstLineChars="200"/>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股东大会是本行权力机构，由全体股东组成。股东大会负责选举和更换非由职工代表担任的董事和监事，决定董事和监事的薪酬，审议批准董事会工作报告、监事会工作报告、提名案、年度财务预决算方案、利润分配方案、公司章程修订案、增加或减少注册资本方案、债券发行方案等事项。</w:t>
            </w:r>
          </w:p>
        </w:tc>
      </w:tr>
      <w:tr w14:paraId="61653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0281C49">
            <w:pPr>
              <w:bidi w:val="0"/>
              <w:snapToGrid w:val="0"/>
              <w:spacing w:before="0" w:beforeLines="0"/>
              <w:ind w:left="0" w:leftChars="0" w:firstLine="0" w:firstLineChars="0"/>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董事会</w:t>
            </w:r>
          </w:p>
        </w:tc>
        <w:tc>
          <w:tcPr>
            <w:tcW w:w="7830" w:type="dxa"/>
            <w:vAlign w:val="center"/>
          </w:tcPr>
          <w:p w14:paraId="73ACE2BC">
            <w:pPr>
              <w:bidi w:val="0"/>
              <w:snapToGrid w:val="0"/>
              <w:spacing w:before="0" w:beforeLines="0"/>
              <w:ind w:firstLine="504" w:firstLineChars="200"/>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董事会是股东大会的执行机构和本行的经营决策机构，向股东大会负责并报告工作。董事会负责召集股东大会，执行股东大会决议，制定年度财务预决算方案、利润分配方案、公司章程修订案、增加或减少注册资本方案，以及本行章程规定的其他事项。</w:t>
            </w:r>
          </w:p>
        </w:tc>
      </w:tr>
      <w:tr w14:paraId="65270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14:paraId="561B3514">
            <w:pPr>
              <w:bidi w:val="0"/>
              <w:snapToGrid w:val="0"/>
              <w:spacing w:before="0" w:beforeLines="0"/>
              <w:ind w:left="0" w:leftChars="0" w:firstLine="0" w:firstLineChars="0"/>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高级管理层</w:t>
            </w:r>
          </w:p>
        </w:tc>
        <w:tc>
          <w:tcPr>
            <w:tcW w:w="7830" w:type="dxa"/>
            <w:vAlign w:val="center"/>
          </w:tcPr>
          <w:p w14:paraId="50F3E838">
            <w:pPr>
              <w:bidi w:val="0"/>
              <w:snapToGrid w:val="0"/>
              <w:spacing w:before="0" w:beforeLines="0"/>
              <w:ind w:firstLine="504" w:firstLineChars="200"/>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高级管理层是本行的执行机构，对董事会负责。本行实行董事会领导下的行长负责制，行长有权依照法律、法规和本行章程及董事会授权，组织开展经营管理活动，具体职权包括主持日常经营管理，组织实施股东大会、董事会决议，拟定年度经营计划和投资方案，拟定年度财务预算、决算方案，拟定利润分配方案和弥补亏损方案，拟定基本管理制度和具体办法等。</w:t>
            </w:r>
          </w:p>
        </w:tc>
      </w:tr>
      <w:tr w14:paraId="13F1B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92" w:type="dxa"/>
            <w:vAlign w:val="center"/>
          </w:tcPr>
          <w:p w14:paraId="7BC6BEFA">
            <w:pPr>
              <w:bidi w:val="0"/>
              <w:snapToGrid w:val="0"/>
              <w:spacing w:before="0" w:beforeLines="0"/>
              <w:ind w:left="0" w:leftChars="0" w:firstLine="0" w:firstLineChars="0"/>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监事会</w:t>
            </w:r>
          </w:p>
        </w:tc>
        <w:tc>
          <w:tcPr>
            <w:tcW w:w="7830" w:type="dxa"/>
            <w:vAlign w:val="center"/>
          </w:tcPr>
          <w:p w14:paraId="29B02D9C">
            <w:pPr>
              <w:bidi w:val="0"/>
              <w:snapToGrid w:val="0"/>
              <w:spacing w:before="0" w:beforeLines="0"/>
              <w:ind w:firstLine="504" w:firstLineChars="200"/>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监事会是本行的监督机构，向股东大会负责并报告工作。监事会依法对董事和高级管理人员、董事会和高级管理层的履职情况进行监督，检查本行的财务、风险管理和内部控制，核对董事会拟提交股东大会的财务报告、利润分配方案等财务资料。</w:t>
            </w:r>
          </w:p>
        </w:tc>
      </w:tr>
    </w:tbl>
    <w:p w14:paraId="1FB39C30">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bookmarkStart w:id="11" w:name="_Toc23258"/>
      <w:r>
        <w:rPr>
          <w:rFonts w:hint="default" w:ascii="Times New Roman" w:hAnsi="Times New Roman" w:eastAsia="方正仿宋_GB2312" w:cs="Times New Roman"/>
          <w:lang w:val="en-US" w:eastAsia="zh-CN"/>
        </w:rPr>
        <w:t>3.2具体职责</w:t>
      </w:r>
      <w:bookmarkEnd w:id="11"/>
    </w:p>
    <w:p w14:paraId="5DE3BAA7">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1）董事会或理事会绿色金融工作职责履行情况。本行董事会审议批准的《2024—2026年发展规划》明确：支持乡村生态振兴。大力发展绿色金融。支持绿色农业发展，支持农业科技创新和结构调整，支持农业节能减排和污染治理，在产品研发、担保方式、贷款期限等方面进一步开展探索创新。支持乡村更加宜居宜业。加强农村突出环境问题综合治理，服务农民群众住房条件改善，推动与农村新型社区建设实现协同发展，结合需求合理匹配中长期贷款，实现授信覆盖面、贷款户数、用信余额稳步增长。</w:t>
      </w:r>
    </w:p>
    <w:p w14:paraId="5435A822">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（2）高级管理层绿色金融工作职责履行情况。本行制定《江苏盱眙农村商业银行股份有限公司关于推动绿色金融发展的实施方案》，明确了工作目标。202</w:t>
      </w:r>
      <w:r>
        <w:rPr>
          <w:rFonts w:hint="eastAsia" w:ascii="Times New Roman" w:hAnsi="Times New Roman" w:eastAsia="方正仿宋_GB2312" w:cs="Times New Roman"/>
          <w:lang w:val="en-US" w:eastAsia="zh-CN"/>
        </w:rPr>
        <w:t>5</w:t>
      </w:r>
      <w:r>
        <w:rPr>
          <w:rFonts w:hint="default" w:ascii="Times New Roman" w:hAnsi="Times New Roman" w:eastAsia="方正仿宋_GB2312" w:cs="Times New Roman"/>
          <w:lang w:val="en-US" w:eastAsia="zh-CN"/>
        </w:rPr>
        <w:t>年初，本行高级管理层及时向董事会提交了《202</w:t>
      </w:r>
      <w:r>
        <w:rPr>
          <w:rFonts w:hint="eastAsia" w:ascii="Times New Roman" w:hAnsi="Times New Roman" w:eastAsia="方正仿宋_GB2312" w:cs="Times New Roman"/>
          <w:lang w:val="en-US" w:eastAsia="zh-CN"/>
        </w:rPr>
        <w:t>4</w:t>
      </w:r>
      <w:r>
        <w:rPr>
          <w:rFonts w:hint="default" w:ascii="Times New Roman" w:hAnsi="Times New Roman" w:eastAsia="方正仿宋_GB2312" w:cs="Times New Roman"/>
          <w:lang w:val="en-US" w:eastAsia="zh-CN"/>
        </w:rPr>
        <w:t>年绿色金融工作报告》《202</w:t>
      </w:r>
      <w:r>
        <w:rPr>
          <w:rFonts w:hint="eastAsia" w:ascii="Times New Roman" w:hAnsi="Times New Roman" w:eastAsia="方正仿宋_GB2312" w:cs="Times New Roman"/>
          <w:lang w:val="en-US" w:eastAsia="zh-CN"/>
        </w:rPr>
        <w:t>5</w:t>
      </w:r>
      <w:r>
        <w:rPr>
          <w:rFonts w:hint="default" w:ascii="Times New Roman" w:hAnsi="Times New Roman" w:eastAsia="方正仿宋_GB2312" w:cs="Times New Roman"/>
          <w:lang w:val="en-US" w:eastAsia="zh-CN"/>
        </w:rPr>
        <w:t>年绿色金融工作计划》。已通过本行《202</w:t>
      </w:r>
      <w:r>
        <w:rPr>
          <w:rFonts w:hint="eastAsia" w:ascii="Times New Roman" w:hAnsi="Times New Roman" w:eastAsia="方正仿宋_GB2312" w:cs="Times New Roman"/>
          <w:lang w:val="en-US" w:eastAsia="zh-CN"/>
        </w:rPr>
        <w:t>4</w:t>
      </w:r>
      <w:r>
        <w:rPr>
          <w:rFonts w:hint="default" w:ascii="Times New Roman" w:hAnsi="Times New Roman" w:eastAsia="方正仿宋_GB2312" w:cs="Times New Roman"/>
          <w:lang w:val="en-US" w:eastAsia="zh-CN"/>
        </w:rPr>
        <w:t>年度报告》《202</w:t>
      </w:r>
      <w:r>
        <w:rPr>
          <w:rFonts w:hint="eastAsia" w:ascii="Times New Roman" w:hAnsi="Times New Roman" w:eastAsia="方正仿宋_GB2312" w:cs="Times New Roman"/>
          <w:lang w:val="en-US" w:eastAsia="zh-CN"/>
        </w:rPr>
        <w:t>4</w:t>
      </w:r>
      <w:r>
        <w:rPr>
          <w:rFonts w:hint="default" w:ascii="Times New Roman" w:hAnsi="Times New Roman" w:eastAsia="方正仿宋_GB2312" w:cs="Times New Roman"/>
          <w:lang w:val="en-US" w:eastAsia="zh-CN"/>
        </w:rPr>
        <w:t>年社会责任报告》，在本行网站披露了绿色金融相关情况。</w:t>
      </w:r>
    </w:p>
    <w:p w14:paraId="317B5375">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（3）绿色金融工作领导和协同机制、资源配备、绩效考核建立及实施情况。为有效落实本行绿色信贷发展规划，202</w:t>
      </w:r>
      <w:r>
        <w:rPr>
          <w:rFonts w:hint="eastAsia" w:ascii="Times New Roman" w:hAnsi="Times New Roman" w:eastAsia="方正仿宋_GB2312" w:cs="Times New Roman"/>
          <w:lang w:val="en-US" w:eastAsia="zh-CN"/>
        </w:rPr>
        <w:t>5</w:t>
      </w:r>
      <w:r>
        <w:rPr>
          <w:rFonts w:hint="default" w:ascii="Times New Roman" w:hAnsi="Times New Roman" w:eastAsia="方正仿宋_GB2312" w:cs="Times New Roman"/>
          <w:lang w:val="en-US" w:eastAsia="zh-CN"/>
        </w:rPr>
        <w:t>年本行制定《江苏盱眙农村商业银行股份有限公司202</w:t>
      </w:r>
      <w:r>
        <w:rPr>
          <w:rFonts w:hint="eastAsia" w:ascii="Times New Roman" w:hAnsi="Times New Roman" w:eastAsia="方正仿宋_GB2312" w:cs="Times New Roman"/>
          <w:lang w:val="en-US" w:eastAsia="zh-CN"/>
        </w:rPr>
        <w:t>5</w:t>
      </w:r>
      <w:r>
        <w:rPr>
          <w:rFonts w:hint="default" w:ascii="Times New Roman" w:hAnsi="Times New Roman" w:eastAsia="方正仿宋_GB2312" w:cs="Times New Roman"/>
          <w:lang w:val="en-US" w:eastAsia="zh-CN"/>
        </w:rPr>
        <w:t>年度绿色金融考评管理方案》，明确了董事会、信贷管理部、普惠金融管理部、风险管理部等部门职责，明确了绿色行业金融服务考核机制。</w:t>
      </w:r>
    </w:p>
    <w:p w14:paraId="78F9DECB">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4）绿色金融专业部门、特色分支机构、专岗专职设立情况。本行绿色金融专管部门设在公司金融事业部，负责对绿色行业企业金融服务实行统一管理，同时部门内部进一步细化管理，按片区设专岗对接客户经理，负责日常对企业走访调研、提供金融服务以及贷后管理。​</w:t>
      </w:r>
    </w:p>
    <w:p w14:paraId="28C6DD02">
      <w:pPr>
        <w:rPr>
          <w:rFonts w:hint="default" w:ascii="Times New Roman" w:hAnsi="Times New Roman" w:eastAsia="方正仿宋_GB2312" w:cs="Times New Roman"/>
          <w:lang w:val="en-US" w:eastAsia="zh-CN"/>
        </w:rPr>
      </w:pPr>
    </w:p>
    <w:p w14:paraId="36E29599">
      <w:pPr>
        <w:ind w:firstLine="0" w:firstLineChars="0"/>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br w:type="page"/>
      </w:r>
    </w:p>
    <w:p w14:paraId="04081D88">
      <w:pPr>
        <w:pStyle w:val="3"/>
        <w:bidi w:val="0"/>
        <w:rPr>
          <w:rFonts w:hint="default" w:ascii="Times New Roman" w:hAnsi="Times New Roman" w:eastAsia="方正仿宋_GB2312" w:cs="Times New Roman"/>
          <w:lang w:val="en-US" w:eastAsia="zh-CN"/>
        </w:rPr>
      </w:pPr>
      <w:bookmarkStart w:id="12" w:name="_Toc15649"/>
      <w:r>
        <w:rPr>
          <w:rFonts w:hint="default" w:ascii="Times New Roman" w:hAnsi="Times New Roman" w:eastAsia="方正仿宋_GB2312" w:cs="Times New Roman"/>
          <w:lang w:val="en-US" w:eastAsia="zh-CN"/>
        </w:rPr>
        <w:t>第四章政策制度</w:t>
      </w:r>
      <w:bookmarkEnd w:id="12"/>
    </w:p>
    <w:p w14:paraId="2327D489">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本行全面贯彻党的二十大和二十届二中、三中全会精神、中央金融工作会议、中央经济工作会议精神，坚决响应国家绿色发展战略部署。在监管机构专业指导下，主动识别市场机遇，以高标准战略定位、大力度资源投入、实举措服务创新，全面深化绿色金融发展实践。</w:t>
      </w:r>
    </w:p>
    <w:p w14:paraId="5CDB59B7">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bookmarkStart w:id="13" w:name="_Toc9895"/>
      <w:r>
        <w:rPr>
          <w:rFonts w:hint="default" w:ascii="Times New Roman" w:hAnsi="Times New Roman" w:eastAsia="方正仿宋_GB2312" w:cs="Times New Roman"/>
        </w:rPr>
        <w:t>4.1公司政策</w:t>
      </w:r>
      <w:bookmarkEnd w:id="13"/>
    </w:p>
    <w:p w14:paraId="1D0CA773">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4.1.1政策制度与能力建设</w:t>
      </w:r>
    </w:p>
    <w:p w14:paraId="639ADA76">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snapToGrid w:val="0"/>
          <w:color w:val="auto"/>
          <w:spacing w:val="6"/>
          <w:kern w:val="0"/>
          <w:sz w:val="24"/>
          <w:szCs w:val="24"/>
          <w:highlight w:val="none"/>
          <w:lang w:val="en-US" w:eastAsia="zh-CN" w:bidi="ar-SA"/>
        </w:rPr>
      </w:pPr>
      <w:r>
        <w:rPr>
          <w:rFonts w:hint="default" w:ascii="Times New Roman" w:hAnsi="Times New Roman" w:eastAsia="方正仿宋_GB2312" w:cs="Times New Roman"/>
          <w:snapToGrid w:val="0"/>
          <w:color w:val="auto"/>
          <w:spacing w:val="6"/>
          <w:kern w:val="0"/>
          <w:sz w:val="24"/>
          <w:szCs w:val="24"/>
          <w:highlight w:val="none"/>
          <w:lang w:val="en-US" w:eastAsia="zh-CN" w:bidi="ar-SA"/>
        </w:rPr>
        <w:t>（1）建立完善环境、社会和治理风险管理的政策、制度和流程，实行有差别、动态的授信或投资政策。本行按年度完善《全面风险管理工作意见》，加强风险行业融资风险管控。近年来，除了继续严控钢铁、水泥、电解铝等传统“两高一剩”行业贷款外，要密切关注传统汽车生产企业产能过剩情况，加强对其上游零配件制造商和下游销售商的贷后管理。要密切关注新能源车企盲目扩产能上新项目的现象，特别关注一些造车新势力的核心技术竞争力、销售增长率、财务可持续等直接影响其估值和生存的关键信息，对于在本行融资金额较大且担保措施较弱的企业，应审慎控制授用信额度，并视情况及时压降或退出。同时，要密切关注出口形势变化情况，深入排查出口型外贸企业生产经营情况，密切关注产业链外移、核心企业外迁对上下游企业订单的不利影响，对相关客户要调整其授用信额度，及时采取增信措施。</w:t>
      </w:r>
    </w:p>
    <w:p w14:paraId="7ED0FF99">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snapToGrid w:val="0"/>
          <w:color w:val="auto"/>
          <w:spacing w:val="6"/>
          <w:kern w:val="0"/>
          <w:sz w:val="24"/>
          <w:szCs w:val="24"/>
          <w:highlight w:val="none"/>
          <w:lang w:val="en-US" w:eastAsia="zh-CN" w:bidi="ar-SA"/>
        </w:rPr>
      </w:pPr>
      <w:r>
        <w:rPr>
          <w:rFonts w:hint="default" w:ascii="Times New Roman" w:hAnsi="Times New Roman" w:eastAsia="方正仿宋_GB2312" w:cs="Times New Roman"/>
          <w:snapToGrid w:val="0"/>
          <w:color w:val="auto"/>
          <w:spacing w:val="6"/>
          <w:kern w:val="0"/>
          <w:sz w:val="24"/>
          <w:szCs w:val="24"/>
          <w:highlight w:val="none"/>
          <w:lang w:val="en-US" w:eastAsia="zh-CN" w:bidi="ar-SA"/>
        </w:rPr>
        <w:t>（2）制定针对客户的环境、社会和治理风险评估标准，对客户风险进行分类管理与动态评估。本行已根据绿色金融及资产新规，重新制定本行《金融资产风险分类管理办法》，合理设定风险评估标准，能够根据客户的环境、、区域的特点以及实际情况，进一步细化对客户风险进行分类管理与动态评估，并能够根据评估结果，结合客户实际情况，采取“一户一策”的方式，进一步提高风险及信贷管控能力。</w:t>
      </w:r>
    </w:p>
    <w:p w14:paraId="0FA35C79">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snapToGrid w:val="0"/>
          <w:color w:val="auto"/>
          <w:spacing w:val="6"/>
          <w:kern w:val="0"/>
          <w:sz w:val="24"/>
          <w:szCs w:val="24"/>
          <w:highlight w:val="none"/>
          <w:lang w:val="en-US" w:eastAsia="zh-CN" w:bidi="ar-SA"/>
        </w:rPr>
      </w:pPr>
      <w:r>
        <w:rPr>
          <w:rFonts w:hint="default" w:ascii="Times New Roman" w:hAnsi="Times New Roman" w:eastAsia="方正仿宋_GB2312" w:cs="Times New Roman"/>
          <w:snapToGrid w:val="0"/>
          <w:color w:val="auto"/>
          <w:spacing w:val="6"/>
          <w:kern w:val="0"/>
          <w:sz w:val="24"/>
          <w:szCs w:val="24"/>
          <w:highlight w:val="none"/>
          <w:lang w:val="en-US" w:eastAsia="zh-CN" w:bidi="ar-SA"/>
        </w:rPr>
        <w:t>（3）绿色金融创新的工作机制，重视自身的环境、社会和治理表现，建立健全相关业务标准和统计制度。本行积极落实机制建设，优化完善制度流程，2022年印发了《江苏盱眙农村商业银行股份有限公司“绿色信贷”管理办法》（盱商银发〔2022〕236号），对绿色信贷业务发展明确了标准，对绿色信贷的准入、贷款方式、操作流程、贷后管理等方面为绿色信贷健康持续发展提供有力保障；2022年印发了《江苏盱眙农村商业银行股份有限公司绿色信贷专项统计制度》，对绿色信贷释义、统计标准、分析报告作出了标准化要求。</w:t>
      </w:r>
    </w:p>
    <w:p w14:paraId="5B34E0C3">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4.1.2投融资流程管理情况</w:t>
      </w:r>
    </w:p>
    <w:p w14:paraId="4E0FC396">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snapToGrid w:val="0"/>
          <w:color w:val="auto"/>
          <w:spacing w:val="6"/>
          <w:kern w:val="0"/>
          <w:sz w:val="24"/>
          <w:szCs w:val="24"/>
          <w:highlight w:val="none"/>
          <w:lang w:val="en-US" w:eastAsia="zh-CN" w:bidi="ar-SA"/>
        </w:rPr>
      </w:pPr>
      <w:r>
        <w:rPr>
          <w:rFonts w:hint="default" w:ascii="Times New Roman" w:hAnsi="Times New Roman" w:eastAsia="方正仿宋_GB2312" w:cs="Times New Roman"/>
          <w:snapToGrid w:val="0"/>
          <w:color w:val="auto"/>
          <w:spacing w:val="6"/>
          <w:kern w:val="0"/>
          <w:sz w:val="24"/>
          <w:szCs w:val="24"/>
          <w:highlight w:val="none"/>
          <w:lang w:val="en-US" w:eastAsia="zh-CN" w:bidi="ar-SA"/>
        </w:rPr>
        <w:t>（1）加强授信和投资尽职调查，合规审查，加强授信和投资审批管理，加强贷后和投后管理。本行制定《客户授信管理办法》，明确客户授信准入条件及授信的调整和终止；合理设置各机构信贷权限，为防控信贷风险，本行实行统一审批管理，所有贷款审批权限均在总行，同时按期组织客户经理座谈会，总结反馈意见，审批流程每年逐步优化精简。一方面本行持续加强风险研判，做实风险分类。严格对照《盱眙农村商业银行股份有限公司信贷资产风险分类实施细则》相关要求，定期开展风险分类检查，并对检查发现的问题及时进行整改，确保资产质量真实及时反映；另一方面本行持续开展“信贷综合大检查”活动，对贷款“三查”制度执行、贷款分类以及数据质量进行了全面检查，及时发现问题，防控风险。</w:t>
      </w:r>
    </w:p>
    <w:p w14:paraId="59253C25">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snapToGrid w:val="0"/>
          <w:color w:val="auto"/>
          <w:spacing w:val="6"/>
          <w:kern w:val="0"/>
          <w:sz w:val="24"/>
          <w:szCs w:val="24"/>
          <w:highlight w:val="none"/>
          <w:lang w:val="en-US" w:eastAsia="zh-CN" w:bidi="ar-SA"/>
        </w:rPr>
      </w:pPr>
      <w:r>
        <w:rPr>
          <w:rFonts w:hint="default" w:ascii="Times New Roman" w:hAnsi="Times New Roman" w:eastAsia="方正仿宋_GB2312" w:cs="Times New Roman"/>
          <w:snapToGrid w:val="0"/>
          <w:color w:val="auto"/>
          <w:spacing w:val="6"/>
          <w:kern w:val="0"/>
          <w:sz w:val="24"/>
          <w:szCs w:val="24"/>
          <w:highlight w:val="none"/>
          <w:lang w:val="en-US" w:eastAsia="zh-CN" w:bidi="ar-SA"/>
        </w:rPr>
        <w:t>（2）主动运用科技手段提升绿色金融管理水平。本行于2024年上线普惠展业平台，主动对接县公积金中心、税务、水电等部门，整合发分析大数据、通过系统智能进行评级与风险评估，统一客户管理标准，同时系统集调查审批、征信、贷后管理等功能于一体，规范调查、审查、贷后管理等方面信贷管理标准，推动信贷投放进一步标准化、和规划、便捷化，进一步提高风险管理的覆盖面和有效性。</w:t>
      </w:r>
    </w:p>
    <w:p w14:paraId="1AB801C5">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snapToGrid w:val="0"/>
          <w:color w:val="auto"/>
          <w:spacing w:val="6"/>
          <w:kern w:val="0"/>
          <w:sz w:val="24"/>
          <w:szCs w:val="24"/>
          <w:highlight w:val="none"/>
          <w:lang w:val="en-US" w:eastAsia="zh-CN" w:bidi="ar-SA"/>
        </w:rPr>
      </w:pPr>
      <w:r>
        <w:rPr>
          <w:rFonts w:hint="default" w:ascii="Times New Roman" w:hAnsi="Times New Roman" w:eastAsia="方正仿宋_GB2312" w:cs="Times New Roman"/>
          <w:snapToGrid w:val="0"/>
          <w:color w:val="auto"/>
          <w:spacing w:val="6"/>
          <w:kern w:val="0"/>
          <w:sz w:val="24"/>
          <w:szCs w:val="24"/>
          <w:highlight w:val="none"/>
          <w:lang w:val="en-US" w:eastAsia="zh-CN" w:bidi="ar-SA"/>
        </w:rPr>
        <w:t>（3）支持绿色低碳建设，加强对拟授信和投资的境外项目的环境、社会和治理风险管理。作为地方银行，本行主动响应政策号召，2022年印发《江苏盱眙农村商业银行股份有限公司关于推动绿色金融发展的实施方案》，积极支持清洁低碳能源体系建设,支持重点行业和领域节能、减污、降碳、增绿、防灾,实施清洁生产，有序推进碳达峰、碳中和工作全面推行清洁生产，加大新能源应用力度，大力推动绿色化发展。目前暂不涉及境外业务。</w:t>
      </w:r>
    </w:p>
    <w:p w14:paraId="1B3C92C6">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lang w:val="en-US" w:eastAsia="zh-CN"/>
        </w:rPr>
        <w:t>4.1.3内控管理与信息披露情况</w:t>
      </w:r>
    </w:p>
    <w:p w14:paraId="69BD0ED6">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snapToGrid w:val="0"/>
          <w:color w:val="auto"/>
          <w:spacing w:val="6"/>
          <w:kern w:val="0"/>
          <w:sz w:val="24"/>
          <w:szCs w:val="24"/>
          <w:highlight w:val="none"/>
          <w:lang w:val="en-US" w:eastAsia="zh-CN" w:bidi="ar-SA"/>
        </w:rPr>
      </w:pPr>
      <w:r>
        <w:rPr>
          <w:rFonts w:hint="default" w:ascii="Times New Roman" w:hAnsi="Times New Roman" w:eastAsia="方正仿宋_GB2312" w:cs="Times New Roman"/>
          <w:snapToGrid w:val="0"/>
          <w:color w:val="auto"/>
          <w:spacing w:val="6"/>
          <w:kern w:val="0"/>
          <w:sz w:val="24"/>
          <w:szCs w:val="24"/>
          <w:highlight w:val="none"/>
          <w:lang w:val="en-US" w:eastAsia="zh-CN" w:bidi="ar-SA"/>
        </w:rPr>
        <w:t>（1）建立有效的绿色金融考核评价体系和奖惩机制，落实激励约束措施，完善尽职免责机制。为有效推动绿色金融发展，落实激励约束，一是2024年本行制定《江苏盱眙农村商业银行股份有限公司2024年经营管理目标责任制考核办法》，明确了绿色行业金融服务考核机制；二是202</w:t>
      </w:r>
      <w:r>
        <w:rPr>
          <w:rFonts w:hint="eastAsia" w:ascii="Times New Roman" w:hAnsi="Times New Roman" w:eastAsia="方正仿宋_GB2312" w:cs="Times New Roman"/>
          <w:snapToGrid w:val="0"/>
          <w:color w:val="auto"/>
          <w:spacing w:val="6"/>
          <w:kern w:val="0"/>
          <w:sz w:val="24"/>
          <w:szCs w:val="24"/>
          <w:highlight w:val="none"/>
          <w:lang w:val="en-US" w:eastAsia="zh-CN" w:bidi="ar-SA"/>
        </w:rPr>
        <w:t>5</w:t>
      </w:r>
      <w:r>
        <w:rPr>
          <w:rFonts w:hint="default" w:ascii="Times New Roman" w:hAnsi="Times New Roman" w:eastAsia="方正仿宋_GB2312" w:cs="Times New Roman"/>
          <w:snapToGrid w:val="0"/>
          <w:color w:val="auto"/>
          <w:spacing w:val="6"/>
          <w:kern w:val="0"/>
          <w:sz w:val="24"/>
          <w:szCs w:val="24"/>
          <w:highlight w:val="none"/>
          <w:lang w:val="en-US" w:eastAsia="zh-CN" w:bidi="ar-SA"/>
        </w:rPr>
        <w:t>年制定《江苏盱眙农村商业银行股份有限公司绿色信贷业务管理办法》，明确了评价考核细致，信贷管理部牵头不定期对本行绿色信贷开展情况进行自评价，对各岗位绿色信贷制度执行情况进行考核，因调查失实、审查审批失察等形成信贷风险，区分调查、审查、审批和贷后管理责任依规进行处罚。</w:t>
      </w:r>
    </w:p>
    <w:p w14:paraId="65D3E28E">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snapToGrid w:val="0"/>
          <w:color w:val="auto"/>
          <w:spacing w:val="6"/>
          <w:kern w:val="0"/>
          <w:sz w:val="24"/>
          <w:szCs w:val="24"/>
          <w:highlight w:val="none"/>
          <w:lang w:val="en-US" w:eastAsia="zh-CN" w:bidi="ar-SA"/>
        </w:rPr>
      </w:pPr>
      <w:r>
        <w:rPr>
          <w:rFonts w:hint="default" w:ascii="Times New Roman" w:hAnsi="Times New Roman" w:eastAsia="方正仿宋_GB2312" w:cs="Times New Roman"/>
          <w:snapToGrid w:val="0"/>
          <w:color w:val="auto"/>
          <w:spacing w:val="6"/>
          <w:kern w:val="0"/>
          <w:sz w:val="24"/>
          <w:szCs w:val="24"/>
          <w:highlight w:val="none"/>
          <w:lang w:val="en-US" w:eastAsia="zh-CN" w:bidi="ar-SA"/>
        </w:rPr>
        <w:t>（2）公开绿色金融战略和政策，充分披露绿色金融发展情况。本行已发布《202</w:t>
      </w:r>
      <w:r>
        <w:rPr>
          <w:rFonts w:hint="eastAsia" w:ascii="Times New Roman" w:hAnsi="Times New Roman" w:eastAsia="方正仿宋_GB2312" w:cs="Times New Roman"/>
          <w:snapToGrid w:val="0"/>
          <w:color w:val="auto"/>
          <w:spacing w:val="6"/>
          <w:kern w:val="0"/>
          <w:sz w:val="24"/>
          <w:szCs w:val="24"/>
          <w:highlight w:val="none"/>
          <w:lang w:val="en-US" w:eastAsia="zh-CN" w:bidi="ar-SA"/>
        </w:rPr>
        <w:t>4</w:t>
      </w:r>
      <w:r>
        <w:rPr>
          <w:rFonts w:hint="default" w:ascii="Times New Roman" w:hAnsi="Times New Roman" w:eastAsia="方正仿宋_GB2312" w:cs="Times New Roman"/>
          <w:snapToGrid w:val="0"/>
          <w:color w:val="auto"/>
          <w:spacing w:val="6"/>
          <w:kern w:val="0"/>
          <w:sz w:val="24"/>
          <w:szCs w:val="24"/>
          <w:highlight w:val="none"/>
          <w:lang w:val="en-US" w:eastAsia="zh-CN" w:bidi="ar-SA"/>
        </w:rPr>
        <w:t>年度报告》《202</w:t>
      </w:r>
      <w:r>
        <w:rPr>
          <w:rFonts w:hint="eastAsia" w:ascii="Times New Roman" w:hAnsi="Times New Roman" w:eastAsia="方正仿宋_GB2312" w:cs="Times New Roman"/>
          <w:snapToGrid w:val="0"/>
          <w:color w:val="auto"/>
          <w:spacing w:val="6"/>
          <w:kern w:val="0"/>
          <w:sz w:val="24"/>
          <w:szCs w:val="24"/>
          <w:highlight w:val="none"/>
          <w:lang w:val="en-US" w:eastAsia="zh-CN" w:bidi="ar-SA"/>
        </w:rPr>
        <w:t>4</w:t>
      </w:r>
      <w:r>
        <w:rPr>
          <w:rFonts w:hint="default" w:ascii="Times New Roman" w:hAnsi="Times New Roman" w:eastAsia="方正仿宋_GB2312" w:cs="Times New Roman"/>
          <w:snapToGrid w:val="0"/>
          <w:color w:val="auto"/>
          <w:spacing w:val="6"/>
          <w:kern w:val="0"/>
          <w:sz w:val="24"/>
          <w:szCs w:val="24"/>
          <w:highlight w:val="none"/>
          <w:lang w:val="en-US" w:eastAsia="zh-CN" w:bidi="ar-SA"/>
        </w:rPr>
        <w:t>年社会责任报告》《202</w:t>
      </w:r>
      <w:r>
        <w:rPr>
          <w:rFonts w:hint="eastAsia" w:ascii="Times New Roman" w:hAnsi="Times New Roman" w:eastAsia="方正仿宋_GB2312" w:cs="Times New Roman"/>
          <w:snapToGrid w:val="0"/>
          <w:color w:val="auto"/>
          <w:spacing w:val="6"/>
          <w:kern w:val="0"/>
          <w:sz w:val="24"/>
          <w:szCs w:val="24"/>
          <w:highlight w:val="none"/>
          <w:lang w:val="en-US" w:eastAsia="zh-CN" w:bidi="ar-SA"/>
        </w:rPr>
        <w:t>5</w:t>
      </w:r>
      <w:r>
        <w:rPr>
          <w:rFonts w:hint="default" w:ascii="Times New Roman" w:hAnsi="Times New Roman" w:eastAsia="方正仿宋_GB2312" w:cs="Times New Roman"/>
          <w:snapToGrid w:val="0"/>
          <w:color w:val="auto"/>
          <w:spacing w:val="6"/>
          <w:kern w:val="0"/>
          <w:sz w:val="24"/>
          <w:szCs w:val="24"/>
          <w:highlight w:val="none"/>
          <w:lang w:val="en-US" w:eastAsia="zh-CN" w:bidi="ar-SA"/>
        </w:rPr>
        <w:t>年半年度报告》，在本行网站披露了绿色金融发展情况。本行能够主动、及时、准确、完整披露绿色金融相关信息，接受市场和利益相关方的监督。</w:t>
      </w:r>
    </w:p>
    <w:p w14:paraId="344B81F5">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bookmarkStart w:id="14" w:name="_Toc17143"/>
      <w:r>
        <w:rPr>
          <w:rFonts w:hint="default" w:ascii="Times New Roman" w:hAnsi="Times New Roman" w:eastAsia="方正仿宋_GB2312" w:cs="Times New Roman"/>
        </w:rPr>
        <w:t>4.2国内政策</w:t>
      </w:r>
      <w:bookmarkEnd w:id="14"/>
    </w:p>
    <w:p w14:paraId="0EDC3A60">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rPr>
        <w:t>4.2.1国家相关政策法规和标准</w:t>
      </w:r>
    </w:p>
    <w:p w14:paraId="7C22475F">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04"/>
        <w:textAlignment w:val="baseline"/>
        <w:rPr>
          <w:rFonts w:hint="default" w:ascii="Times New Roman" w:hAnsi="Times New Roman" w:eastAsia="方正仿宋_GB2312" w:cs="Times New Roman"/>
          <w:snapToGrid w:val="0"/>
          <w:spacing w:val="6"/>
          <w:kern w:val="0"/>
          <w:sz w:val="24"/>
          <w:szCs w:val="24"/>
        </w:rPr>
      </w:pPr>
      <w:r>
        <w:rPr>
          <w:rFonts w:hint="default" w:ascii="Times New Roman" w:hAnsi="Times New Roman" w:eastAsia="方正仿宋_GB2312" w:cs="Times New Roman"/>
          <w:snapToGrid w:val="0"/>
          <w:spacing w:val="6"/>
          <w:kern w:val="0"/>
          <w:sz w:val="24"/>
          <w:szCs w:val="24"/>
          <w:lang w:val="en-US" w:eastAsia="zh-CN"/>
        </w:rPr>
        <w:t>本行</w:t>
      </w:r>
      <w:r>
        <w:rPr>
          <w:rFonts w:hint="default" w:ascii="Times New Roman" w:hAnsi="Times New Roman" w:eastAsia="方正仿宋_GB2312" w:cs="Times New Roman"/>
          <w:snapToGrid w:val="0"/>
          <w:spacing w:val="6"/>
          <w:kern w:val="0"/>
          <w:sz w:val="24"/>
          <w:szCs w:val="24"/>
        </w:rPr>
        <w:t>紧密关注并遵循国家关于绿色金融、环境保护及可持续发展等相关政策法规和标准，以确保业务运营合规并积极响应国家政策导向。</w:t>
      </w:r>
    </w:p>
    <w:p w14:paraId="7BA403AE">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snapToGrid w:val="0"/>
          <w:spacing w:val="6"/>
          <w:kern w:val="0"/>
          <w:sz w:val="24"/>
          <w:szCs w:val="24"/>
        </w:rPr>
      </w:pPr>
      <w:r>
        <w:rPr>
          <w:rFonts w:hint="default" w:ascii="Times New Roman" w:hAnsi="Times New Roman" w:eastAsia="方正仿宋_GB2312" w:cs="Times New Roman"/>
          <w:b w:val="0"/>
          <w:bCs w:val="0"/>
          <w:snapToGrid w:val="0"/>
          <w:spacing w:val="6"/>
          <w:kern w:val="0"/>
          <w:sz w:val="24"/>
          <w:szCs w:val="24"/>
          <w:lang w:val="en-US" w:eastAsia="zh-CN"/>
        </w:rPr>
        <w:t>（1）</w:t>
      </w:r>
      <w:r>
        <w:rPr>
          <w:rFonts w:hint="default" w:ascii="Times New Roman" w:hAnsi="Times New Roman" w:eastAsia="方正仿宋_GB2312" w:cs="Times New Roman"/>
          <w:b w:val="0"/>
          <w:bCs w:val="0"/>
          <w:snapToGrid w:val="0"/>
          <w:spacing w:val="6"/>
          <w:kern w:val="0"/>
          <w:sz w:val="24"/>
          <w:szCs w:val="24"/>
        </w:rPr>
        <w:t>绿色金融政策：</w:t>
      </w:r>
      <w:r>
        <w:rPr>
          <w:rFonts w:hint="default" w:ascii="Times New Roman" w:hAnsi="Times New Roman" w:eastAsia="方正仿宋_GB2312" w:cs="Times New Roman"/>
          <w:b w:val="0"/>
          <w:bCs w:val="0"/>
          <w:snapToGrid w:val="0"/>
          <w:spacing w:val="6"/>
          <w:kern w:val="0"/>
          <w:sz w:val="24"/>
          <w:szCs w:val="24"/>
          <w:lang w:val="en-US" w:eastAsia="zh-CN"/>
        </w:rPr>
        <w:t>盱眙农商银行</w:t>
      </w:r>
      <w:r>
        <w:rPr>
          <w:rFonts w:hint="default" w:ascii="Times New Roman" w:hAnsi="Times New Roman" w:eastAsia="方正仿宋_GB2312" w:cs="Times New Roman"/>
          <w:b w:val="0"/>
          <w:bCs w:val="0"/>
          <w:snapToGrid w:val="0"/>
          <w:spacing w:val="6"/>
          <w:kern w:val="0"/>
          <w:sz w:val="24"/>
          <w:szCs w:val="24"/>
        </w:rPr>
        <w:t>积</w:t>
      </w:r>
      <w:r>
        <w:rPr>
          <w:rFonts w:hint="default" w:ascii="Times New Roman" w:hAnsi="Times New Roman" w:eastAsia="方正仿宋_GB2312" w:cs="Times New Roman"/>
          <w:snapToGrid w:val="0"/>
          <w:spacing w:val="6"/>
          <w:kern w:val="0"/>
          <w:sz w:val="24"/>
          <w:szCs w:val="24"/>
        </w:rPr>
        <w:t>极响应国家关于绿色金融的政策号召，将绿色金融纳入整体发展战略，明确以支持绿色低碳发展为核心目标，致力于成为绿色金融服务的领先银行。</w:t>
      </w:r>
    </w:p>
    <w:p w14:paraId="6EC4DE73">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snapToGrid w:val="0"/>
          <w:spacing w:val="6"/>
          <w:kern w:val="0"/>
          <w:sz w:val="24"/>
          <w:szCs w:val="24"/>
        </w:rPr>
      </w:pPr>
      <w:r>
        <w:rPr>
          <w:rFonts w:hint="default" w:ascii="Times New Roman" w:hAnsi="Times New Roman" w:eastAsia="方正仿宋_GB2312" w:cs="Times New Roman"/>
          <w:b w:val="0"/>
          <w:bCs w:val="0"/>
          <w:snapToGrid w:val="0"/>
          <w:spacing w:val="6"/>
          <w:kern w:val="0"/>
          <w:sz w:val="24"/>
          <w:szCs w:val="24"/>
          <w:lang w:val="en-US" w:eastAsia="zh-CN"/>
        </w:rPr>
        <w:t>（2）</w:t>
      </w:r>
      <w:r>
        <w:rPr>
          <w:rFonts w:hint="default" w:ascii="Times New Roman" w:hAnsi="Times New Roman" w:eastAsia="方正仿宋_GB2312" w:cs="Times New Roman"/>
          <w:b w:val="0"/>
          <w:bCs w:val="0"/>
          <w:snapToGrid w:val="0"/>
          <w:spacing w:val="6"/>
          <w:kern w:val="0"/>
          <w:sz w:val="24"/>
          <w:szCs w:val="24"/>
        </w:rPr>
        <w:t>环境政策标准：</w:t>
      </w:r>
      <w:r>
        <w:rPr>
          <w:rFonts w:hint="default" w:ascii="Times New Roman" w:hAnsi="Times New Roman" w:eastAsia="方正仿宋_GB2312" w:cs="Times New Roman"/>
          <w:b w:val="0"/>
          <w:bCs w:val="0"/>
          <w:snapToGrid w:val="0"/>
          <w:spacing w:val="6"/>
          <w:kern w:val="0"/>
          <w:sz w:val="24"/>
          <w:szCs w:val="24"/>
          <w:lang w:val="en-US" w:eastAsia="zh-CN"/>
        </w:rPr>
        <w:t>盱眙农商银行</w:t>
      </w:r>
      <w:r>
        <w:rPr>
          <w:rFonts w:hint="default" w:ascii="Times New Roman" w:hAnsi="Times New Roman" w:eastAsia="方正仿宋_GB2312" w:cs="Times New Roman"/>
          <w:snapToGrid w:val="0"/>
          <w:spacing w:val="6"/>
          <w:kern w:val="0"/>
          <w:sz w:val="24"/>
          <w:szCs w:val="24"/>
        </w:rPr>
        <w:t>严格遵循《中华人民共和国环境保护法》《中华人民共和国循环经济促进法》《中华人民共和国节约能源法》等法律法规相关要求，落实各项节能减排举措，强化设备应急处理预案和模拟演练。</w:t>
      </w:r>
    </w:p>
    <w:p w14:paraId="3B1B7D11">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snapToGrid w:val="0"/>
          <w:spacing w:val="6"/>
          <w:kern w:val="0"/>
          <w:sz w:val="24"/>
          <w:szCs w:val="24"/>
        </w:rPr>
      </w:pPr>
      <w:r>
        <w:rPr>
          <w:rFonts w:hint="default" w:ascii="Times New Roman" w:hAnsi="Times New Roman" w:eastAsia="方正仿宋_GB2312" w:cs="Times New Roman"/>
          <w:b w:val="0"/>
          <w:bCs w:val="0"/>
          <w:snapToGrid w:val="0"/>
          <w:spacing w:val="6"/>
          <w:kern w:val="0"/>
          <w:sz w:val="24"/>
          <w:szCs w:val="24"/>
          <w:lang w:val="en-US" w:eastAsia="zh-CN"/>
        </w:rPr>
        <w:t>（3）</w:t>
      </w:r>
      <w:r>
        <w:rPr>
          <w:rFonts w:hint="default" w:ascii="Times New Roman" w:hAnsi="Times New Roman" w:eastAsia="方正仿宋_GB2312" w:cs="Times New Roman"/>
          <w:b w:val="0"/>
          <w:bCs w:val="0"/>
          <w:snapToGrid w:val="0"/>
          <w:spacing w:val="6"/>
          <w:kern w:val="0"/>
          <w:sz w:val="24"/>
          <w:szCs w:val="24"/>
        </w:rPr>
        <w:t>可持续发展标准：</w:t>
      </w:r>
      <w:r>
        <w:rPr>
          <w:rFonts w:hint="default" w:ascii="Times New Roman" w:hAnsi="Times New Roman" w:eastAsia="方正仿宋_GB2312" w:cs="Times New Roman"/>
          <w:b w:val="0"/>
          <w:bCs w:val="0"/>
          <w:snapToGrid w:val="0"/>
          <w:spacing w:val="6"/>
          <w:kern w:val="0"/>
          <w:sz w:val="24"/>
          <w:szCs w:val="24"/>
          <w:lang w:val="en-US" w:eastAsia="zh-CN"/>
        </w:rPr>
        <w:t>盱眙农商银行</w:t>
      </w:r>
      <w:r>
        <w:rPr>
          <w:rFonts w:hint="default" w:ascii="Times New Roman" w:hAnsi="Times New Roman" w:eastAsia="方正仿宋_GB2312" w:cs="Times New Roman"/>
          <w:snapToGrid w:val="0"/>
          <w:spacing w:val="6"/>
          <w:kern w:val="0"/>
          <w:sz w:val="24"/>
          <w:szCs w:val="24"/>
        </w:rPr>
        <w:t>积极</w:t>
      </w:r>
      <w:r>
        <w:rPr>
          <w:rFonts w:hint="default" w:ascii="Times New Roman" w:hAnsi="Times New Roman" w:eastAsia="方正仿宋_GB2312" w:cs="Times New Roman"/>
          <w:snapToGrid w:val="0"/>
          <w:spacing w:val="6"/>
          <w:kern w:val="0"/>
          <w:sz w:val="24"/>
          <w:szCs w:val="24"/>
          <w:lang w:val="en-US" w:eastAsia="zh-CN"/>
        </w:rPr>
        <w:t>学习</w:t>
      </w:r>
      <w:r>
        <w:rPr>
          <w:rFonts w:hint="default" w:ascii="Times New Roman" w:hAnsi="Times New Roman" w:eastAsia="方正仿宋_GB2312" w:cs="Times New Roman"/>
          <w:snapToGrid w:val="0"/>
          <w:spacing w:val="6"/>
          <w:kern w:val="0"/>
          <w:sz w:val="24"/>
          <w:szCs w:val="24"/>
        </w:rPr>
        <w:t>国际和国内的可持续发展标准，将可持续发展理念融入业务运营和决策过程，推动经济、社会和环境效益的协调发展。</w:t>
      </w:r>
    </w:p>
    <w:p w14:paraId="45B188B4">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rPr>
        <w:t>4.2.2地方相关政策法规和标准</w:t>
      </w:r>
    </w:p>
    <w:p w14:paraId="70546964">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snapToGrid w:val="0"/>
          <w:spacing w:val="6"/>
          <w:kern w:val="0"/>
          <w:sz w:val="24"/>
          <w:szCs w:val="24"/>
          <w:lang w:val="en-US" w:eastAsia="zh-CN"/>
        </w:rPr>
      </w:pPr>
      <w:r>
        <w:rPr>
          <w:rFonts w:hint="default" w:ascii="Times New Roman" w:hAnsi="Times New Roman" w:eastAsia="方正仿宋_GB2312" w:cs="Times New Roman"/>
          <w:b w:val="0"/>
          <w:bCs w:val="0"/>
          <w:snapToGrid w:val="0"/>
          <w:spacing w:val="6"/>
          <w:kern w:val="0"/>
          <w:sz w:val="24"/>
          <w:szCs w:val="24"/>
          <w:lang w:val="en-US" w:eastAsia="zh-CN"/>
        </w:rPr>
        <w:t>（1）深化绿色金融服务体系建设，精准对接企业需求。本行</w:t>
      </w:r>
      <w:r>
        <w:rPr>
          <w:rFonts w:hint="default" w:ascii="Times New Roman" w:hAnsi="Times New Roman" w:eastAsia="方正仿宋_GB2312" w:cs="Times New Roman"/>
          <w:kern w:val="2"/>
          <w:sz w:val="24"/>
          <w:szCs w:val="24"/>
          <w:highlight w:val="none"/>
          <w:lang w:val="en-US" w:eastAsia="zh-CN" w:bidi="ar-SA"/>
        </w:rPr>
        <w:t>深入贯彻落实《省政府办公厅转发人民银行南京分行等部门关于大力发展绿色金融指导意见的通知》（苏政办发〔2021〕80号）</w:t>
      </w:r>
      <w:r>
        <w:rPr>
          <w:rFonts w:hint="default" w:ascii="Times New Roman" w:hAnsi="Times New Roman" w:eastAsia="方正仿宋_GB2312" w:cs="Times New Roman"/>
          <w:b w:val="0"/>
          <w:bCs w:val="0"/>
          <w:snapToGrid w:val="0"/>
          <w:spacing w:val="6"/>
          <w:kern w:val="0"/>
          <w:sz w:val="24"/>
          <w:szCs w:val="24"/>
          <w:lang w:val="en-US" w:eastAsia="zh-CN"/>
        </w:rPr>
        <w:t>，以服务实体经济绿色转型为核心，持续强化银企沟通协作机制。通过系统化、常态化的调研走访，深入企业生产经营一线，全面掌握企业客户绿色金融服务诉求；定期组织高规格项目推介会，搭建高效银企对接平台，构建起全方位、多层次的信息交互网络。依托该渠道，本行精准把握企业实际需求，充分发挥金融专业优势，为企业量身定制差异化、精细化的绿色金融服务方案，有效提升金融服务质效，助力企业绿色发展战略落地实施。​</w:t>
      </w:r>
    </w:p>
    <w:p w14:paraId="0EAB4070">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snapToGrid w:val="0"/>
          <w:spacing w:val="6"/>
          <w:kern w:val="0"/>
          <w:sz w:val="24"/>
          <w:szCs w:val="24"/>
          <w:lang w:val="en-US" w:eastAsia="zh-CN"/>
        </w:rPr>
      </w:pPr>
      <w:r>
        <w:rPr>
          <w:rFonts w:hint="default" w:ascii="Times New Roman" w:hAnsi="Times New Roman" w:eastAsia="方正仿宋_GB2312" w:cs="Times New Roman"/>
          <w:b w:val="0"/>
          <w:bCs w:val="0"/>
          <w:snapToGrid w:val="0"/>
          <w:spacing w:val="6"/>
          <w:kern w:val="0"/>
          <w:sz w:val="24"/>
          <w:szCs w:val="24"/>
          <w:lang w:val="en-US" w:eastAsia="zh-CN"/>
        </w:rPr>
        <w:t>（2）优化金融发展战略布局，强化创新驱动与风险防控。本行严格遵循《江苏省“十四五”金融发展规划》政策导向，坚持“稳字当头、稳中求进”工作总基调，在筑牢风险防控底线的基础上，大力推进金融产品和服务创新。聚焦企业多元化融资需求，本行持续丰富产品体系，推出一系列兼具便利性与精准性的金融产品，为不同规模、不同行业的企业及项目提供多元化融资支持。同时，积极投身绿色金融实践活动，主动将企业环境、社会和治理（ESG）因素深度融入信用管理体系，创新探索将企业绿色绩效纳入贷款审批、额度测算、利率定价等核心环节，构建起更为科学、全面的绿色金融评价体系，为绿色金融业务高质量发展提供有力支撑。​</w:t>
      </w:r>
    </w:p>
    <w:p w14:paraId="0E94F217">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snapToGrid w:val="0"/>
          <w:spacing w:val="6"/>
          <w:kern w:val="0"/>
          <w:sz w:val="24"/>
          <w:szCs w:val="24"/>
          <w:lang w:val="en-US" w:eastAsia="zh-CN"/>
        </w:rPr>
      </w:pPr>
      <w:r>
        <w:rPr>
          <w:rFonts w:hint="default" w:ascii="Times New Roman" w:hAnsi="Times New Roman" w:eastAsia="方正仿宋_GB2312" w:cs="Times New Roman"/>
          <w:b w:val="0"/>
          <w:bCs w:val="0"/>
          <w:snapToGrid w:val="0"/>
          <w:spacing w:val="6"/>
          <w:kern w:val="0"/>
          <w:sz w:val="24"/>
          <w:szCs w:val="24"/>
          <w:lang w:val="en-US" w:eastAsia="zh-CN"/>
        </w:rPr>
        <w:t>（3）严格执行绿色金融标准，规范开展融资主体认定。本行严格按照人民银行江苏省分行《关于开展江苏省绿色融资主体认定评价工作的通知》及《江苏省绿色融资主体认定评价标准》要求，组织开展最新年度绿色融资企业（项目）认定评价工作。在认定过程中，坚持严谨、规范、公正的原则，通过三方专业评审团队进行评审，确保认定结果真实反映企业（项目）绿色属性，为绿色金融资源精准配置提供可靠依据。​</w:t>
      </w:r>
    </w:p>
    <w:p w14:paraId="2EBE5503">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b w:val="0"/>
          <w:bCs w:val="0"/>
          <w:snapToGrid w:val="0"/>
          <w:spacing w:val="6"/>
          <w:kern w:val="0"/>
          <w:sz w:val="24"/>
          <w:szCs w:val="24"/>
          <w:lang w:val="en-US" w:eastAsia="zh-CN"/>
        </w:rPr>
        <w:t>（4）健全环境政策执行体系，提升信息披露质量。本行高度重视金融碳核算和环境信息披露工作，严格遵循《江苏省银行业金融机构环境信息披露指引（试行）》及《关于做好2024年度江苏省银行业金融机构环境信息披露工作的通知》政策标准，统一核算原则、规范统计口径、优化测算方法，确保数据真实、准确、完整。同时，着力加强内部管理制度建设，完善全流程管理机制，将环境政策要求嵌入业务操作各环节，强化监督检查与考核问责，切实保障相关政策法规有效落地实施，不断提升环境信息披露的规范性和透明度。</w:t>
      </w:r>
    </w:p>
    <w:p w14:paraId="1190D800">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bookmarkStart w:id="15" w:name="_Toc1423"/>
      <w:r>
        <w:rPr>
          <w:rFonts w:hint="default" w:ascii="Times New Roman" w:hAnsi="Times New Roman" w:eastAsia="方正仿宋_GB2312" w:cs="Times New Roman"/>
        </w:rPr>
        <w:t>4.3国际标准</w:t>
      </w:r>
      <w:bookmarkEnd w:id="15"/>
    </w:p>
    <w:p w14:paraId="27B61DEB">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snapToGrid w:val="0"/>
          <w:spacing w:val="6"/>
          <w:kern w:val="0"/>
          <w:sz w:val="24"/>
          <w:szCs w:val="24"/>
        </w:rPr>
      </w:pPr>
      <w:r>
        <w:rPr>
          <w:rFonts w:hint="default" w:ascii="Times New Roman" w:hAnsi="Times New Roman" w:eastAsia="方正仿宋_GB2312" w:cs="Times New Roman"/>
          <w:snapToGrid w:val="0"/>
          <w:spacing w:val="6"/>
          <w:kern w:val="0"/>
          <w:sz w:val="24"/>
          <w:szCs w:val="24"/>
          <w:lang w:val="en-US" w:eastAsia="zh-CN"/>
        </w:rPr>
        <w:t>盱眙农商银行</w:t>
      </w:r>
      <w:r>
        <w:rPr>
          <w:rFonts w:hint="default" w:ascii="Times New Roman" w:hAnsi="Times New Roman" w:eastAsia="方正仿宋_GB2312" w:cs="Times New Roman"/>
          <w:snapToGrid w:val="0"/>
          <w:spacing w:val="6"/>
          <w:kern w:val="0"/>
          <w:sz w:val="24"/>
          <w:szCs w:val="24"/>
        </w:rPr>
        <w:t>在绿色金融领域采纳多项国际公约、框架和倡议：</w:t>
      </w:r>
    </w:p>
    <w:p w14:paraId="662F3316">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04"/>
        <w:textAlignment w:val="baseline"/>
        <w:rPr>
          <w:rFonts w:hint="default" w:ascii="Times New Roman" w:hAnsi="Times New Roman" w:eastAsia="方正仿宋_GB2312" w:cs="Times New Roman"/>
          <w:b w:val="0"/>
          <w:bCs w:val="0"/>
          <w:snapToGrid w:val="0"/>
          <w:color w:val="000000" w:themeColor="text1"/>
          <w:spacing w:val="6"/>
          <w:kern w:val="0"/>
          <w:sz w:val="24"/>
          <w:szCs w:val="24"/>
          <w:lang w:val="en-US" w:eastAsia="zh-CN"/>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val="en-US" w:eastAsia="zh-CN"/>
          <w14:textFill>
            <w14:solidFill>
              <w14:schemeClr w14:val="tx1"/>
            </w14:solidFill>
          </w14:textFill>
        </w:rPr>
        <w:t>（1）联合国可持续发展目标（SDGs）：联合国可持续发展目标（SustainableDevelopmentGoals，简称SDGs）是联合国在2015年9月25日举行的可持续发展峰会上通过的《2030年可持续发展议程》中提出的17个全球发展目标，旨在从2015年到2030年间以综合方式解决社会、经济和环境三个维度的发展问题，推动人类的可持续发展。</w:t>
      </w:r>
    </w:p>
    <w:p w14:paraId="7BD323C5">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val="en-US" w:eastAsia="zh-CN"/>
          <w14:textFill>
            <w14:solidFill>
              <w14:schemeClr w14:val="tx1"/>
            </w14:solidFill>
          </w14:textFill>
        </w:rPr>
        <w:t>（2</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全球报告倡议组织（GRI）《可持续发展报告标准》：全球报告倡议组织（GRI）的《可持续发展报告标准》（2021）是企业和社会组织在可持续发展报告领域的重要指导框架。它为组织提供了一套全面、系统化的报告指南，帮助其透明地展示在经济、环境和社会方面的表现。</w:t>
      </w:r>
    </w:p>
    <w:p w14:paraId="68C994B5">
      <w:pPr>
        <w:widowControl/>
        <w:kinsoku w:val="0"/>
        <w:autoSpaceDE w:val="0"/>
        <w:autoSpaceDN w:val="0"/>
        <w:adjustRightInd w:val="0"/>
        <w:snapToGrid w:val="0"/>
        <w:spacing w:before="217" w:beforeLines="50" w:line="240" w:lineRule="auto"/>
        <w:ind w:firstLine="513"/>
        <w:textAlignment w:val="baseline"/>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pPr>
    </w:p>
    <w:p w14:paraId="135BFE5A">
      <w:pPr>
        <w:ind w:firstLine="640"/>
        <w:rPr>
          <w:rFonts w:hint="default" w:ascii="Times New Roman" w:hAnsi="Times New Roman" w:eastAsia="方正仿宋_GB2312" w:cs="Times New Roman"/>
          <w:b/>
          <w:bCs/>
          <w:color w:val="000000" w:themeColor="text1"/>
          <w:szCs w:val="32"/>
          <w14:textFill>
            <w14:solidFill>
              <w14:schemeClr w14:val="tx1"/>
            </w14:solidFill>
          </w14:textFill>
        </w:rPr>
      </w:pPr>
      <w:r>
        <w:rPr>
          <w:rFonts w:hint="default" w:ascii="Times New Roman" w:hAnsi="Times New Roman" w:eastAsia="方正仿宋_GB2312" w:cs="Times New Roman"/>
          <w:b/>
          <w:bCs/>
          <w:color w:val="000000" w:themeColor="text1"/>
          <w:szCs w:val="32"/>
          <w14:textFill>
            <w14:solidFill>
              <w14:schemeClr w14:val="tx1"/>
            </w14:solidFill>
          </w14:textFill>
        </w:rPr>
        <w:br w:type="page"/>
      </w:r>
    </w:p>
    <w:p w14:paraId="6B0744A4">
      <w:pPr>
        <w:pStyle w:val="3"/>
        <w:bidi w:val="0"/>
        <w:rPr>
          <w:rFonts w:hint="default" w:ascii="Times New Roman" w:hAnsi="Times New Roman" w:eastAsia="方正仿宋_GB2312" w:cs="Times New Roman"/>
          <w:lang w:val="en-US" w:eastAsia="zh-CN"/>
        </w:rPr>
      </w:pPr>
      <w:bookmarkStart w:id="16" w:name="_Toc20639"/>
      <w:r>
        <w:rPr>
          <w:rFonts w:hint="default" w:ascii="Times New Roman" w:hAnsi="Times New Roman" w:eastAsia="方正仿宋_GB2312" w:cs="Times New Roman"/>
          <w:lang w:val="en-US" w:eastAsia="zh-CN"/>
        </w:rPr>
        <w:t>第五章环境管理</w:t>
      </w:r>
      <w:bookmarkEnd w:id="16"/>
    </w:p>
    <w:p w14:paraId="399FCDD0">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bookmarkStart w:id="17" w:name="_Toc27286"/>
      <w:r>
        <w:rPr>
          <w:rFonts w:hint="default" w:ascii="Times New Roman" w:hAnsi="Times New Roman" w:eastAsia="方正仿宋_GB2312" w:cs="Times New Roman"/>
        </w:rPr>
        <w:t>5.1</w:t>
      </w:r>
      <w:r>
        <w:rPr>
          <w:rFonts w:hint="default" w:ascii="Times New Roman" w:hAnsi="Times New Roman" w:eastAsia="方正仿宋_GB2312" w:cs="Times New Roman"/>
          <w:lang w:val="en-US" w:eastAsia="zh-CN"/>
        </w:rPr>
        <w:t>气候风险管理</w:t>
      </w:r>
      <w:bookmarkEnd w:id="17"/>
    </w:p>
    <w:p w14:paraId="6ACDE5ED">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rPr>
        <w:t>5.1.1</w:t>
      </w:r>
      <w:r>
        <w:rPr>
          <w:rFonts w:hint="default" w:ascii="Times New Roman" w:hAnsi="Times New Roman" w:eastAsia="方正仿宋_GB2312" w:cs="Times New Roman"/>
          <w:lang w:val="en-US" w:eastAsia="zh-CN"/>
        </w:rPr>
        <w:t>气候变化相关风险</w:t>
      </w:r>
    </w:p>
    <w:p w14:paraId="379C02BB">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snapToGrid w:val="0"/>
          <w:color w:val="000000" w:themeColor="text1"/>
          <w:spacing w:val="6"/>
          <w:kern w:val="0"/>
          <w:sz w:val="24"/>
          <w:szCs w:val="24"/>
          <w:lang w:val="en-US" w:eastAsia="zh-CN"/>
          <w14:textFill>
            <w14:solidFill>
              <w14:schemeClr w14:val="tx1"/>
            </w14:solidFill>
          </w14:textFill>
        </w:rPr>
        <w:t>1</w:t>
      </w: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短期环境风险、机遇：物理风险如极端天气事件导致的资产损失，转型风险如国际供应链中断。本行将通过环境风险量化分析，将企业受环境相关政策、自身环评情况等因素纳入企业内部信用评级变动考量，评估不同情景下信贷资产质量的影响程度。在信贷业务中，加强对客户环保依法合规情况的调查，通过风险预警系统对存在环保问题的客户进行预警提示，并采取有针对性地控制或缓释措施。实行环保一票否决制，限制准入“两高一剩”或环保不达标的企业，对存量不符合环保标准的客户坚决退出。</w:t>
      </w:r>
    </w:p>
    <w:p w14:paraId="4CCCC787">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snapToGrid w:val="0"/>
          <w:color w:val="000000" w:themeColor="text1"/>
          <w:spacing w:val="6"/>
          <w:kern w:val="0"/>
          <w:sz w:val="24"/>
          <w:szCs w:val="24"/>
          <w:lang w:val="en-US" w:eastAsia="zh-CN"/>
          <w14:textFill>
            <w14:solidFill>
              <w14:schemeClr w14:val="tx1"/>
            </w14:solidFill>
          </w14:textFill>
        </w:rPr>
        <w:t>2</w:t>
      </w: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中期环境风险、机遇：物理风险如水资源和食物安全变化带来的经营风险，转型风险如欧盟碳关税征收、碳市场价格大幅波动。本行优先支持节能降碳产业、环境保护产业、资源循环利用产业、清洁能源产业、生态保护修复和利用、基础设施绿色升级、绿色服务等七大绿色产业，同时加大对传统行业节能降碳减排活动的资金支持，快速响应绿色融资主体和转型融资主体的可持续发展融资需求。</w:t>
      </w:r>
    </w:p>
    <w:p w14:paraId="618A4F9E">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snapToGrid w:val="0"/>
          <w:color w:val="000000" w:themeColor="text1"/>
          <w:spacing w:val="6"/>
          <w:kern w:val="0"/>
          <w:sz w:val="24"/>
          <w:szCs w:val="24"/>
          <w:lang w:val="en-US" w:eastAsia="zh-CN"/>
          <w14:textFill>
            <w14:solidFill>
              <w14:schemeClr w14:val="tx1"/>
            </w14:solidFill>
          </w14:textFill>
        </w:rPr>
        <w:t>3</w:t>
      </w:r>
      <w:r>
        <w:rPr>
          <w:rFonts w:hint="default" w:ascii="Times New Roman" w:hAnsi="Times New Roman" w:eastAsia="方正仿宋_GB2312" w:cs="Times New Roman"/>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snapToGrid w:val="0"/>
          <w:color w:val="000000" w:themeColor="text1"/>
          <w:spacing w:val="6"/>
          <w:kern w:val="0"/>
          <w:sz w:val="24"/>
          <w:szCs w:val="24"/>
          <w14:textFill>
            <w14:solidFill>
              <w14:schemeClr w14:val="tx1"/>
            </w14:solidFill>
          </w14:textFill>
        </w:rPr>
        <w:t>长期环境风险、机遇：气候变化导致的海平面上升、持续高温等，影响公司运营和资产价值。本行设定碳中和远景目标，明确绿色金融发展目标、任务和措施，推动绿色金融业务的长期可持续发展。推动本行自身运营的绿色低碳转型，如建设零碳银行网点、绿色数据中心、百分百绿色电力消费等，持续降低本行自身运营的环境影响，提升投融资的环境效益。</w:t>
      </w:r>
    </w:p>
    <w:p w14:paraId="2ED5FBB9">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rPr>
        <w:t>5.1.2可获得的气候变化相关机遇</w:t>
      </w:r>
    </w:p>
    <w:p w14:paraId="2D304898">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lang w:eastAsia="zh-CN"/>
        </w:rPr>
        <w:t>（</w:t>
      </w:r>
      <w:r>
        <w:rPr>
          <w:rFonts w:hint="default" w:ascii="Times New Roman" w:hAnsi="Times New Roman" w:eastAsia="方正仿宋_GB2312" w:cs="Times New Roman"/>
          <w:lang w:val="en-US" w:eastAsia="zh-CN"/>
        </w:rPr>
        <w:t>1</w:t>
      </w:r>
      <w:r>
        <w:rPr>
          <w:rFonts w:hint="default" w:ascii="Times New Roman" w:hAnsi="Times New Roman" w:eastAsia="方正仿宋_GB2312" w:cs="Times New Roman"/>
          <w:lang w:eastAsia="zh-CN"/>
        </w:rPr>
        <w:t>）</w:t>
      </w:r>
      <w:r>
        <w:rPr>
          <w:rFonts w:hint="default" w:ascii="Times New Roman" w:hAnsi="Times New Roman" w:eastAsia="方正仿宋_GB2312" w:cs="Times New Roman"/>
        </w:rPr>
        <w:t>完善风险管理体系：本行建立全面的环境风险管理体系，包括风险识别、评估、监控和报告等环节，确保环境风险得到有效控制。</w:t>
      </w:r>
    </w:p>
    <w:p w14:paraId="0B02DFA2">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lang w:eastAsia="zh-CN"/>
        </w:rPr>
        <w:t>（</w:t>
      </w:r>
      <w:r>
        <w:rPr>
          <w:rFonts w:hint="default" w:ascii="Times New Roman" w:hAnsi="Times New Roman" w:eastAsia="方正仿宋_GB2312" w:cs="Times New Roman"/>
          <w:lang w:val="en-US" w:eastAsia="zh-CN"/>
        </w:rPr>
        <w:t>2</w:t>
      </w:r>
      <w:r>
        <w:rPr>
          <w:rFonts w:hint="default" w:ascii="Times New Roman" w:hAnsi="Times New Roman" w:eastAsia="方正仿宋_GB2312" w:cs="Times New Roman"/>
          <w:lang w:eastAsia="zh-CN"/>
        </w:rPr>
        <w:t>）</w:t>
      </w:r>
      <w:r>
        <w:rPr>
          <w:rFonts w:hint="default" w:ascii="Times New Roman" w:hAnsi="Times New Roman" w:eastAsia="方正仿宋_GB2312" w:cs="Times New Roman"/>
        </w:rPr>
        <w:t>强化内部风险控制：本行通过制定和完善相关内控制度和流程，加强环境风险的内部控制和监督。实施风险敞口管理制度，开展信贷政策指引情况跟踪审计。</w:t>
      </w:r>
    </w:p>
    <w:p w14:paraId="64241D1A">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lang w:eastAsia="zh-CN"/>
        </w:rPr>
        <w:t>（</w:t>
      </w:r>
      <w:r>
        <w:rPr>
          <w:rFonts w:hint="default" w:ascii="Times New Roman" w:hAnsi="Times New Roman" w:eastAsia="方正仿宋_GB2312" w:cs="Times New Roman"/>
          <w:lang w:val="en-US" w:eastAsia="zh-CN"/>
        </w:rPr>
        <w:t>3</w:t>
      </w:r>
      <w:r>
        <w:rPr>
          <w:rFonts w:hint="default" w:ascii="Times New Roman" w:hAnsi="Times New Roman" w:eastAsia="方正仿宋_GB2312" w:cs="Times New Roman"/>
          <w:lang w:eastAsia="zh-CN"/>
        </w:rPr>
        <w:t>）</w:t>
      </w:r>
      <w:r>
        <w:rPr>
          <w:rFonts w:hint="default" w:ascii="Times New Roman" w:hAnsi="Times New Roman" w:eastAsia="方正仿宋_GB2312" w:cs="Times New Roman"/>
        </w:rPr>
        <w:t>建立应急预案：本行建立专职应急领导小组负责环境风险的应急管理和处置。针对可能发生的重大环境风险事件，制定应急预案和处置程序，确保能够迅速、有效地应对和处置环境风险。</w:t>
      </w:r>
    </w:p>
    <w:p w14:paraId="2B6E3858">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lang w:eastAsia="zh-CN"/>
        </w:rPr>
        <w:t>（</w:t>
      </w:r>
      <w:r>
        <w:rPr>
          <w:rFonts w:hint="default" w:ascii="Times New Roman" w:hAnsi="Times New Roman" w:eastAsia="方正仿宋_GB2312" w:cs="Times New Roman"/>
          <w:lang w:val="en-US" w:eastAsia="zh-CN"/>
        </w:rPr>
        <w:t>4</w:t>
      </w:r>
      <w:r>
        <w:rPr>
          <w:rFonts w:hint="default" w:ascii="Times New Roman" w:hAnsi="Times New Roman" w:eastAsia="方正仿宋_GB2312" w:cs="Times New Roman"/>
          <w:lang w:eastAsia="zh-CN"/>
        </w:rPr>
        <w:t>）</w:t>
      </w:r>
      <w:r>
        <w:rPr>
          <w:rFonts w:hint="default" w:ascii="Times New Roman" w:hAnsi="Times New Roman" w:eastAsia="方正仿宋_GB2312" w:cs="Times New Roman"/>
        </w:rPr>
        <w:t>加强沟通与协作：本行加强与地方政府、监管部门、环保组织等利益相关方的沟通与协作，共同应对环境风险挑战。</w:t>
      </w:r>
    </w:p>
    <w:p w14:paraId="1F683F34">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r>
        <w:rPr>
          <w:rFonts w:hint="default" w:ascii="Times New Roman" w:hAnsi="Times New Roman" w:eastAsia="方正仿宋_GB2312" w:cs="Times New Roman"/>
          <w:lang w:eastAsia="zh-CN"/>
        </w:rPr>
        <w:t>（</w:t>
      </w:r>
      <w:r>
        <w:rPr>
          <w:rFonts w:hint="default" w:ascii="Times New Roman" w:hAnsi="Times New Roman" w:eastAsia="方正仿宋_GB2312" w:cs="Times New Roman"/>
          <w:lang w:val="en-US" w:eastAsia="zh-CN"/>
        </w:rPr>
        <w:t>5</w:t>
      </w:r>
      <w:r>
        <w:rPr>
          <w:rFonts w:hint="default" w:ascii="Times New Roman" w:hAnsi="Times New Roman" w:eastAsia="方正仿宋_GB2312" w:cs="Times New Roman"/>
          <w:lang w:eastAsia="zh-CN"/>
        </w:rPr>
        <w:t>）</w:t>
      </w:r>
      <w:r>
        <w:rPr>
          <w:rFonts w:hint="default" w:ascii="Times New Roman" w:hAnsi="Times New Roman" w:eastAsia="方正仿宋_GB2312" w:cs="Times New Roman"/>
        </w:rPr>
        <w:t>定期演练和培训：本行定期组织环境风险主题培训活动，提升全体员工的环境风险识别意识和防控应对能力。</w:t>
      </w:r>
    </w:p>
    <w:p w14:paraId="78003E0A">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rPr>
      </w:pPr>
      <w:bookmarkStart w:id="18" w:name="_Toc20531"/>
      <w:r>
        <w:rPr>
          <w:rFonts w:hint="default" w:ascii="Times New Roman" w:hAnsi="Times New Roman" w:eastAsia="方正仿宋_GB2312" w:cs="Times New Roman"/>
        </w:rPr>
        <w:t>5.2环境</w:t>
      </w:r>
      <w:r>
        <w:rPr>
          <w:rFonts w:hint="default" w:ascii="Times New Roman" w:hAnsi="Times New Roman" w:eastAsia="方正仿宋_GB2312" w:cs="Times New Roman"/>
          <w:lang w:val="en-US" w:eastAsia="zh-CN"/>
        </w:rPr>
        <w:t>相关实质性</w:t>
      </w:r>
      <w:r>
        <w:rPr>
          <w:rFonts w:hint="default" w:ascii="Times New Roman" w:hAnsi="Times New Roman" w:eastAsia="方正仿宋_GB2312" w:cs="Times New Roman"/>
        </w:rPr>
        <w:t>议题</w:t>
      </w:r>
      <w:bookmarkEnd w:id="18"/>
    </w:p>
    <w:p w14:paraId="5C3C3D74">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5.2.1识别机制</w:t>
      </w:r>
    </w:p>
    <w:p w14:paraId="128D5046">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1</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利益相关方调查：本行通过在线问卷调查、线下座谈会等活动方式收集股东、客户、监管机构、社区、管理层与员工、债权人、合作伙伴等利益相关方的意见和建议，识别其关注的环境相关重大议题。</w:t>
      </w:r>
    </w:p>
    <w:p w14:paraId="6F02189A">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市场与环境分析：本行定期分析市场和行业趋势，关注环境政策、法规和标准的变化，以及市场对绿色金融产品和服务的需求变化。</w:t>
      </w:r>
    </w:p>
    <w:p w14:paraId="092284EF">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3</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内部审查：本行通过内部审查和主题讨论，结合银行自身的业务特点和环境风险状况，及时识别潜在的环境风险点和市场机遇。</w:t>
      </w:r>
    </w:p>
    <w:p w14:paraId="2FCEE5EC">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5.2.2评估方法</w:t>
      </w:r>
    </w:p>
    <w:p w14:paraId="61057FA7">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1</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环境影响评估：本行对投融资项目进行全面的环境影响评估，包括直接环境影响和间接环境影响，以及长期和短期的环境影响。</w:t>
      </w:r>
    </w:p>
    <w:p w14:paraId="7B5664DB">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风险与收益分析：本行在投融资决策过程中，进行环境风险与收益的综合分析，确保气候投融资相关决策的科学性和合理性。</w:t>
      </w:r>
    </w:p>
    <w:p w14:paraId="3ECC45F7">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3</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优先级排序：本行根据环境议题的重要性和紧迫性，对各项议题进行优先级排序，确保资源得到合理配置。</w:t>
      </w:r>
    </w:p>
    <w:p w14:paraId="4C666456">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5.2.3管理方针</w:t>
      </w:r>
    </w:p>
    <w:p w14:paraId="0E484E9B">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1</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承诺与目标：本行承诺在绿色金融领域持续努力积极应对环境风险挑战，逐步设定明确的绿色发展目标，包括不限于自身经营碳减排目标、投融资碳排放总量和强度控制目标、绿色资产碳减排和环境效益目标等。</w:t>
      </w:r>
    </w:p>
    <w:p w14:paraId="095388A4">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透明与沟通：本行通过环境信息披露报告、ESG报告、年度报告、官方网站等渠道，及时向利益相关方披露环境风险管理情况和转型成效，加强与利益相关方的沟通和信息透明度，回应利益相关方的关切和期望。</w:t>
      </w:r>
    </w:p>
    <w:p w14:paraId="4556226A">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3</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持续改进：建立利益相关方环境议题持续改进机制，不断优化本行环境风险管理流程和改进措施，提升整体环境绩效。与利益相关各方共同推动可持续发展目标的实现。</w:t>
      </w:r>
    </w:p>
    <w:p w14:paraId="097AA28D">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rPr>
      </w:pPr>
      <w:bookmarkStart w:id="19" w:name="_Toc3949"/>
      <w:bookmarkStart w:id="20" w:name="_Toc13252"/>
      <w:bookmarkStart w:id="21" w:name="_Toc22019"/>
      <w:r>
        <w:rPr>
          <w:rFonts w:hint="default" w:ascii="Times New Roman" w:hAnsi="Times New Roman" w:eastAsia="方正仿宋_GB2312" w:cs="Times New Roman"/>
          <w:b w:val="0"/>
          <w:bCs/>
        </w:rPr>
        <w:t>5.3情景分析与压力测试</w:t>
      </w:r>
      <w:bookmarkEnd w:id="19"/>
      <w:bookmarkEnd w:id="20"/>
      <w:bookmarkEnd w:id="21"/>
    </w:p>
    <w:p w14:paraId="4821E9B3">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04"/>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全球的央行与监管机构正在形成一个新的共识，即环境风险（涵盖与环境和气候相关的风险）已经成为金融风险的重大来源之一，环境和气候因素可能会演化为金融机构所面临的金融风险，也可能会对金融稳定构成系统性的威胁。</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在气候风险情景分析与压力测试方面还处于理论研究阶段，以下是</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对气候风险情景分析与压力测试采用的理论模型的提炼：</w:t>
      </w:r>
    </w:p>
    <w:p w14:paraId="3C075045">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5.3.1气候风险</w:t>
      </w:r>
    </w:p>
    <w:p w14:paraId="17C40606">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1）物理风险：源于影响日益增大且频繁发生的高温热浪、洪灾、暴风雪等极端天气事件以及海平面上升和平均气温上升等长期气候变化风险。</w:t>
      </w:r>
    </w:p>
    <w:p w14:paraId="61E975AF">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13"/>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2）转型风险：向低碳经济转型的伴生风险。推动转型进程需要政府出台刺激措施，而许多企业、投资人和借款人或因此面临高额的转型成本。有序高效的转型可能蕴藏巨大发展机遇，但那些投资或从事碳密集型产业的企业则可能面临资产搁浅的风险。i.政策风险</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交易对手政策和立法环境的变化，例如通过碳定价、税收或限额交易等直接成本，或者通过补贴金额变化、推行可再生能源义务等间接成本影响转型；ii.技术风险</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技术可用性和相对成本的变化，例如可再生能源技术和能源储存成本下降以及从页岩油藏、油砂或者深海油田提炼化石燃料的高昂成本。</w:t>
      </w:r>
    </w:p>
    <w:p w14:paraId="0087D1A5">
      <w:pPr>
        <w:widowControl/>
        <w:kinsoku w:val="0"/>
        <w:autoSpaceDE w:val="0"/>
        <w:autoSpaceDN w:val="0"/>
        <w:adjustRightInd w:val="0"/>
        <w:snapToGrid w:val="0"/>
        <w:spacing w:before="217" w:beforeLines="50" w:line="240" w:lineRule="auto"/>
        <w:ind w:firstLine="0" w:firstLineChars="0"/>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rPr>
        <w:drawing>
          <wp:inline distT="0" distB="0" distL="114300" distR="114300">
            <wp:extent cx="5271770" cy="1967230"/>
            <wp:effectExtent l="0" t="0" r="5080" b="1397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27"/>
                    <a:srcRect t="10592"/>
                    <a:stretch>
                      <a:fillRect/>
                    </a:stretch>
                  </pic:blipFill>
                  <pic:spPr>
                    <a:xfrm>
                      <a:off x="0" y="0"/>
                      <a:ext cx="5271770" cy="1967230"/>
                    </a:xfrm>
                    <a:prstGeom prst="rect">
                      <a:avLst/>
                    </a:prstGeom>
                    <a:noFill/>
                    <a:ln>
                      <a:noFill/>
                    </a:ln>
                  </pic:spPr>
                </pic:pic>
              </a:graphicData>
            </a:graphic>
          </wp:inline>
        </w:drawing>
      </w:r>
    </w:p>
    <w:p w14:paraId="7017F8B0">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5.3.2情景分析</w:t>
      </w:r>
    </w:p>
    <w:p w14:paraId="1919492E">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04"/>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前瞻性气候风险评估的基础是设计一个或一组情景，且这些情景最能符合关于气候、社会和经济的一些假设，其中的核心假设是全球气温目标或排放路径。央行绿色金融网络（NGFS）发布《金融机构环境风险分析综述》和《案例集》，情景开发方面的新进展是发布了NGFS三大情景：i.有序转型（气温升幅控制在1.5-2°C）；ii.无序转型（气温升幅控制在1.5-2°C，但其转型风险高于有序转型）；iii.</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热</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室世界（仅实施当前政策，气温升幅高于3°C，甚至达不到目前的国家自主贡献目标）。</w:t>
      </w:r>
    </w:p>
    <w:p w14:paraId="253A8888">
      <w:pPr>
        <w:pStyle w:val="2"/>
        <w:ind w:firstLine="0" w:firstLineChars="0"/>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drawing>
          <wp:inline distT="0" distB="0" distL="114300" distR="114300">
            <wp:extent cx="5269865" cy="2109470"/>
            <wp:effectExtent l="0" t="0" r="6985" b="508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8"/>
                    <a:srcRect t="10216"/>
                    <a:stretch>
                      <a:fillRect/>
                    </a:stretch>
                  </pic:blipFill>
                  <pic:spPr>
                    <a:xfrm>
                      <a:off x="0" y="0"/>
                      <a:ext cx="5269865" cy="2109470"/>
                    </a:xfrm>
                    <a:prstGeom prst="rect">
                      <a:avLst/>
                    </a:prstGeom>
                    <a:noFill/>
                    <a:ln>
                      <a:noFill/>
                    </a:ln>
                  </pic:spPr>
                </pic:pic>
              </a:graphicData>
            </a:graphic>
          </wp:inline>
        </w:drawing>
      </w:r>
    </w:p>
    <w:p w14:paraId="39B0CB07">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5.3.3压力测试</w:t>
      </w:r>
    </w:p>
    <w:p w14:paraId="63E77247">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04"/>
        <w:textAlignment w:val="baseline"/>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在全球气候治理与金融体系深度融合的时代背景下，本行秉持前瞻性战略思维，构建气候风险压力测试创新体系，围绕"双碳"目标实现与金融稳定维护两大核心维度开展系统性研究。针对物理风险与转型风险两大关键领域，本行建立了精细化的分析框架：在物理风险层面，创新性地将极端高温、极端低温、台风、干旱、暴雨等五类典型气候灾害，与气温异常波动、台风路径强度变化、蒸发量失衡、降水量骤变等动态监测数据进行深度耦合，构建灾害影响量化传导模型；在转型风险维度，系统剖析能源转型政策冲击、节能降碳技术迭代、碳市场规则重构等核心变量，通过多维度指标体系精准捕捉政策与市场变化对金融资产的潜在影响。本行2025年启动高碳行业气候风险压力测试专项工作，以高精度气候数据为基础，结合企业碳排放微观数据，选取本行重点支持的高碳行业作为研究样本，运用前沿风险评估模型与计量方法，深入探究气候风险在行业内部及金融系统间的传导路径。此项研究不仅是对传统压力测试范式的突破，更为金融机构应对气候风险提供可复制、可推广的创新实践范例。通过该项研究，本行致力于推动金融资源向低碳可持续领域高效配置，实现金融服务与气候治理的协同发展。</w:t>
      </w:r>
    </w:p>
    <w:p w14:paraId="3DE0AF0C">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firstLine="504"/>
        <w:textAlignment w:val="baseline"/>
        <w:rPr>
          <w:rFonts w:hint="default" w:ascii="Times New Roman" w:hAnsi="Times New Roman" w:eastAsia="方正仿宋_GB2312" w:cs="Times New Roman"/>
          <w:b w:val="0"/>
          <w:bCs/>
          <w:snapToGrid w:val="0"/>
          <w:color w:val="000000" w:themeColor="text1"/>
          <w:spacing w:val="6"/>
          <w:kern w:val="0"/>
          <w:sz w:val="24"/>
          <w:szCs w:val="24"/>
          <w:highlight w:val="none"/>
          <w:lang w:val="en-US" w:eastAsia="zh-CN"/>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highlight w:val="none"/>
          <w:lang w:val="en-US" w:eastAsia="zh-CN"/>
          <w14:textFill>
            <w14:solidFill>
              <w14:schemeClr w14:val="tx1"/>
            </w14:solidFill>
          </w14:textFill>
        </w:rPr>
        <w:t>在物理情景下：根据热浪、寒潮、台风等预测结果，结合本行贷款资产地理分布，综合评估结果显示，本行农业和渔业贷款资产面临的物理风险可控。</w:t>
      </w:r>
    </w:p>
    <w:p w14:paraId="4B60D659">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left="0" w:leftChars="0" w:firstLine="504" w:firstLineChars="200"/>
        <w:jc w:val="left"/>
        <w:textAlignment w:val="baseline"/>
        <w:rPr>
          <w:rFonts w:hint="default" w:ascii="Times New Roman" w:hAnsi="Times New Roman" w:eastAsia="方正仿宋_GB2312" w:cs="Times New Roman"/>
          <w:b w:val="0"/>
          <w:bCs/>
          <w:snapToGrid w:val="0"/>
          <w:color w:val="000000" w:themeColor="text1"/>
          <w:spacing w:val="6"/>
          <w:kern w:val="0"/>
          <w:sz w:val="24"/>
          <w:szCs w:val="24"/>
          <w:highlight w:val="none"/>
          <w:lang w:val="en-US" w:eastAsia="zh-CN"/>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highlight w:val="none"/>
          <w:lang w:val="en-US" w:eastAsia="zh-CN"/>
          <w14:textFill>
            <w14:solidFill>
              <w14:schemeClr w14:val="tx1"/>
            </w14:solidFill>
          </w14:textFill>
        </w:rPr>
        <w:t>在转型情景下：基于“有序转型”情景下的碳价预测，本行针对样本企业客户在碳价冲击下未来可能的财务指标变化曲线进行模拟，量化评估企业违约概率、行业贷款预期损失、银行贷款预期损失率，进而评估相关情景下本行稳健运营的可持续性。综合评估结果显示，样本企业转型风险对本行影响总体有限。</w:t>
      </w:r>
    </w:p>
    <w:p w14:paraId="0934962C">
      <w:pPr>
        <w:keepNext w:val="0"/>
        <w:keepLines w:val="0"/>
        <w:pageBreakBefore w:val="0"/>
        <w:widowControl/>
        <w:kinsoku w:val="0"/>
        <w:wordWrap/>
        <w:overflowPunct/>
        <w:topLinePunct w:val="0"/>
        <w:autoSpaceDE w:val="0"/>
        <w:autoSpaceDN w:val="0"/>
        <w:bidi w:val="0"/>
        <w:adjustRightInd w:val="0"/>
        <w:snapToGrid w:val="0"/>
        <w:spacing w:before="217" w:beforeLines="50" w:line="560" w:lineRule="exact"/>
        <w:ind w:left="0" w:leftChars="0" w:firstLine="504" w:firstLineChars="200"/>
        <w:jc w:val="left"/>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eastAsia" w:ascii="Times New Roman" w:hAnsi="Times New Roman" w:eastAsia="方正仿宋_GB2312" w:cs="Times New Roman"/>
          <w:b w:val="0"/>
          <w:bCs/>
          <w:snapToGrid w:val="0"/>
          <w:color w:val="000000" w:themeColor="text1"/>
          <w:spacing w:val="6"/>
          <w:kern w:val="0"/>
          <w:sz w:val="24"/>
          <w:szCs w:val="24"/>
          <w:highlight w:val="none"/>
          <w:lang w:val="en-US" w:eastAsia="zh-CN"/>
          <w14:textFill>
            <w14:solidFill>
              <w14:schemeClr w14:val="tx1"/>
            </w14:solidFill>
          </w14:textFill>
        </w:rPr>
        <w:t>本年度本行未进行环境压力测试</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br w:type="page"/>
      </w:r>
    </w:p>
    <w:p w14:paraId="7AD384BB">
      <w:pPr>
        <w:pStyle w:val="3"/>
        <w:bidi w:val="0"/>
        <w:rPr>
          <w:rFonts w:hint="default" w:ascii="Times New Roman" w:hAnsi="Times New Roman" w:eastAsia="方正仿宋_GB2312" w:cs="Times New Roman"/>
          <w:b w:val="0"/>
          <w:bCs/>
          <w:lang w:val="en-US" w:eastAsia="zh-CN"/>
        </w:rPr>
      </w:pPr>
      <w:bookmarkStart w:id="22" w:name="_Toc29480"/>
      <w:bookmarkStart w:id="23" w:name="_Toc27914"/>
      <w:r>
        <w:rPr>
          <w:rFonts w:hint="default" w:ascii="Times New Roman" w:hAnsi="Times New Roman" w:eastAsia="方正仿宋_GB2312" w:cs="Times New Roman"/>
          <w:b w:val="0"/>
          <w:bCs/>
          <w:lang w:val="en-US" w:eastAsia="zh-CN"/>
        </w:rPr>
        <w:t>第六章自身经营的环境影响</w:t>
      </w:r>
      <w:bookmarkEnd w:id="22"/>
      <w:bookmarkEnd w:id="23"/>
    </w:p>
    <w:p w14:paraId="659CEAC9">
      <w:pPr>
        <w:pStyle w:val="5"/>
        <w:bidi w:val="0"/>
        <w:rPr>
          <w:rFonts w:hint="default" w:ascii="Times New Roman" w:hAnsi="Times New Roman" w:eastAsia="方正仿宋_GB2312" w:cs="Times New Roman"/>
          <w:b w:val="0"/>
          <w:bCs/>
        </w:rPr>
      </w:pPr>
      <w:bookmarkStart w:id="24" w:name="_Toc2368"/>
      <w:bookmarkStart w:id="25" w:name="_Toc24406"/>
      <w:r>
        <w:rPr>
          <w:rFonts w:hint="default" w:ascii="Times New Roman" w:hAnsi="Times New Roman" w:eastAsia="方正仿宋_GB2312" w:cs="Times New Roman"/>
          <w:b w:val="0"/>
          <w:bCs/>
        </w:rPr>
        <w:t>6.1自身经营的能源和资源消耗</w:t>
      </w:r>
      <w:bookmarkEnd w:id="24"/>
      <w:bookmarkEnd w:id="25"/>
    </w:p>
    <w:p w14:paraId="27AD5934">
      <w:pPr>
        <w:pStyle w:val="6"/>
        <w:bidi w:val="0"/>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6.1.1直接能源消耗的化石燃料</w:t>
      </w:r>
    </w:p>
    <w:p w14:paraId="4D1A7137">
      <w:pPr>
        <w:widowControl/>
        <w:kinsoku w:val="0"/>
        <w:autoSpaceDE w:val="0"/>
        <w:autoSpaceDN w:val="0"/>
        <w:adjustRightInd w:val="0"/>
        <w:snapToGrid w:val="0"/>
        <w:spacing w:before="217" w:beforeLines="50" w:line="240" w:lineRule="auto"/>
        <w:ind w:firstLine="504"/>
        <w:textAlignment w:val="baseline"/>
        <w:rPr>
          <w:rFonts w:hint="default" w:ascii="Times New Roman" w:hAnsi="Times New Roman" w:eastAsia="方正仿宋_GB2312" w:cs="Times New Roman"/>
          <w:b w:val="0"/>
          <w:bCs/>
          <w:color w:val="000000" w:themeColor="text1"/>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报告年度内本行自身经营的直接能源消耗的化石燃料情况如下：营业办公（含固定源、移动源）天然气</w:t>
      </w:r>
      <w:r>
        <w:rPr>
          <w:rFonts w:hint="default" w:ascii="Times New Roman" w:hAnsi="Times New Roman" w:eastAsia="方正仿宋_GB2312" w:cs="Times New Roman"/>
          <w:color w:val="000000"/>
          <w:spacing w:val="6"/>
          <w:sz w:val="24"/>
          <w:u w:val="single" w:color="auto"/>
        </w:rPr>
        <w:t>0.32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万</w:t>
      </w:r>
      <w:r>
        <w:rPr>
          <w:rFonts w:hint="default" w:ascii="Times New Roman" w:hAnsi="Times New Roman" w:eastAsia="方正仿宋_GB2312" w:cs="Times New Roman"/>
          <w:b w:val="0"/>
          <w:bCs/>
          <w:color w:val="000000" w:themeColor="text1"/>
          <w:kern w:val="0"/>
          <w:sz w:val="24"/>
          <w:szCs w:val="24"/>
          <w14:textFill>
            <w14:solidFill>
              <w14:schemeClr w14:val="tx1"/>
            </w14:solidFill>
          </w14:textFill>
        </w:rPr>
        <w:t>Nm</w:t>
      </w:r>
      <w:r>
        <w:rPr>
          <w:rFonts w:hint="default" w:ascii="Times New Roman" w:hAnsi="Times New Roman" w:eastAsia="方正仿宋_GB2312" w:cs="Times New Roman"/>
          <w:b w:val="0"/>
          <w:bCs/>
          <w:color w:val="000000" w:themeColor="text1"/>
          <w:kern w:val="0"/>
          <w:sz w:val="24"/>
          <w:szCs w:val="24"/>
          <w:vertAlign w:val="superscript"/>
          <w14:textFill>
            <w14:solidFill>
              <w14:schemeClr w14:val="tx1"/>
            </w14:solidFill>
          </w14:textFill>
        </w:rPr>
        <w:t>3</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（万立方米）、无烟煤消耗</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0</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t（吨）、汽油消耗</w:t>
      </w:r>
      <w:r>
        <w:rPr>
          <w:rFonts w:hint="default" w:ascii="Times New Roman" w:hAnsi="Times New Roman" w:eastAsia="方正仿宋_GB2312" w:cs="Times New Roman"/>
          <w:color w:val="000000"/>
          <w:spacing w:val="6"/>
          <w:sz w:val="24"/>
          <w:u w:val="single" w:color="auto"/>
        </w:rPr>
        <w:t xml:space="preserve">49.22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t（吨）、柴油</w:t>
      </w:r>
      <w:r>
        <w:rPr>
          <w:rFonts w:hint="default" w:ascii="Times New Roman" w:hAnsi="Times New Roman" w:eastAsia="方正仿宋_GB2312" w:cs="Times New Roman"/>
          <w:color w:val="000000"/>
          <w:spacing w:val="6"/>
          <w:sz w:val="24"/>
          <w:u w:val="single" w:color="auto"/>
        </w:rPr>
        <w:t xml:space="preserve">0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t（吨）。</w:t>
      </w:r>
    </w:p>
    <w:p w14:paraId="3ACF3C7C">
      <w:pPr>
        <w:widowControl/>
        <w:kinsoku w:val="0"/>
        <w:autoSpaceDE w:val="0"/>
        <w:autoSpaceDN w:val="0"/>
        <w:adjustRightInd w:val="0"/>
        <w:snapToGrid w:val="0"/>
        <w:spacing w:before="217" w:beforeLines="50" w:line="240" w:lineRule="auto"/>
        <w:ind w:firstLine="480"/>
        <w:textAlignment w:val="baseline"/>
        <w:rPr>
          <w:rFonts w:hint="default" w:ascii="Times New Roman" w:hAnsi="Times New Roman" w:eastAsia="方正仿宋_GB2312" w:cs="Times New Roman"/>
          <w:b w:val="0"/>
          <w:bCs/>
          <w:color w:val="000000" w:themeColor="text1"/>
          <w:sz w:val="24"/>
          <w:szCs w:val="24"/>
          <w14:textFill>
            <w14:solidFill>
              <w14:schemeClr w14:val="tx1"/>
            </w14:solidFill>
          </w14:textFill>
        </w:rPr>
      </w:pPr>
      <w:r>
        <w:rPr>
          <w:rFonts w:hint="default" w:ascii="Times New Roman" w:hAnsi="Times New Roman" w:eastAsia="方正仿宋_GB2312" w:cs="Times New Roman"/>
          <w:b w:val="0"/>
          <w:bCs/>
          <w:color w:val="000000" w:themeColor="text1"/>
          <w:sz w:val="24"/>
          <w:szCs w:val="24"/>
          <w14:textFill>
            <w14:solidFill>
              <w14:schemeClr w14:val="tx1"/>
            </w14:solidFill>
          </w14:textFill>
        </w:rPr>
        <w:t>6.1.2间接能源消耗的电力、热力</w:t>
      </w:r>
    </w:p>
    <w:p w14:paraId="2EF116BB">
      <w:pPr>
        <w:widowControl/>
        <w:kinsoku w:val="0"/>
        <w:autoSpaceDE w:val="0"/>
        <w:autoSpaceDN w:val="0"/>
        <w:adjustRightInd w:val="0"/>
        <w:snapToGrid w:val="0"/>
        <w:spacing w:before="217" w:beforeLines="50" w:line="240" w:lineRule="auto"/>
        <w:ind w:firstLine="504"/>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报告年度内本行自身经营的间接能源消耗的电力、热力情况如下：营业办公消耗的外部输入电力</w:t>
      </w:r>
      <w:r>
        <w:rPr>
          <w:rFonts w:hint="default" w:ascii="Times New Roman" w:hAnsi="Times New Roman" w:eastAsia="方正仿宋_GB2312" w:cs="Times New Roman"/>
          <w:color w:val="000000"/>
          <w:spacing w:val="6"/>
          <w:sz w:val="24"/>
          <w:u w:val="single" w:color="auto"/>
        </w:rPr>
        <w:t xml:space="preserve">3923.10 </w:t>
      </w:r>
      <w:r>
        <w:rPr>
          <w:rFonts w:hint="default" w:ascii="Times New Roman" w:hAnsi="Times New Roman" w:eastAsia="方正仿宋_GB2312" w:cs="Times New Roman"/>
          <w:b w:val="0"/>
          <w:bCs/>
          <w:color w:val="000000" w:themeColor="text1"/>
          <w:spacing w:val="6"/>
          <w:sz w:val="24"/>
          <w14:textFill>
            <w14:solidFill>
              <w14:schemeClr w14:val="tx1"/>
            </w14:solidFill>
          </w14:textFill>
        </w:rPr>
        <w:t>MWh</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（兆瓦时），营业办公消耗的外部输入热、冷或蒸汽</w:t>
      </w:r>
      <w:r>
        <w:rPr>
          <w:rFonts w:hint="default" w:ascii="Times New Roman" w:hAnsi="Times New Roman" w:eastAsia="方正仿宋_GB2312" w:cs="Times New Roman"/>
          <w:color w:val="000000"/>
          <w:spacing w:val="6"/>
          <w:sz w:val="24"/>
          <w:u w:val="single" w:color="auto"/>
        </w:rPr>
        <w:t xml:space="preserve">0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GJ（吉焦）。</w:t>
      </w:r>
    </w:p>
    <w:p w14:paraId="5DF0E943">
      <w:pPr>
        <w:pStyle w:val="6"/>
        <w:bidi w:val="0"/>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6.1.3价值链消耗的能源和资源</w:t>
      </w:r>
    </w:p>
    <w:p w14:paraId="45684C7B">
      <w:pPr>
        <w:widowControl/>
        <w:kinsoku w:val="0"/>
        <w:autoSpaceDE w:val="0"/>
        <w:autoSpaceDN w:val="0"/>
        <w:adjustRightInd w:val="0"/>
        <w:snapToGrid w:val="0"/>
        <w:spacing w:before="217" w:beforeLines="50" w:line="240" w:lineRule="auto"/>
        <w:ind w:firstLine="504"/>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报告年度内</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自身经营的价值链碳排放（范围三（不含投资））。</w:t>
      </w:r>
    </w:p>
    <w:p w14:paraId="1E926C05">
      <w:pPr>
        <w:widowControl/>
        <w:kinsoku w:val="0"/>
        <w:autoSpaceDE w:val="0"/>
        <w:autoSpaceDN w:val="0"/>
        <w:adjustRightInd w:val="0"/>
        <w:snapToGrid w:val="0"/>
        <w:spacing w:before="217" w:beforeLines="50" w:line="240" w:lineRule="auto"/>
        <w:ind w:firstLine="0" w:firstLineChars="0"/>
        <w:jc w:val="center"/>
        <w:textAlignment w:val="baseline"/>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自身经营价值链碳排放（范围</w:t>
      </w:r>
      <w:r>
        <w:rPr>
          <w:rFonts w:hint="default" w:ascii="Times New Roman" w:hAnsi="Times New Roman" w:eastAsia="方正仿宋_GB2312" w:cs="Times New Roman"/>
          <w:b w:val="0"/>
          <w:bCs/>
          <w:color w:val="000000" w:themeColor="text1"/>
          <w:kern w:val="0"/>
          <w:sz w:val="20"/>
          <w:szCs w:val="20"/>
          <w:lang w:val="en-US" w:eastAsia="zh-CN"/>
          <w14:textFill>
            <w14:solidFill>
              <w14:schemeClr w14:val="tx1"/>
            </w14:solidFill>
          </w14:textFill>
        </w:rPr>
        <w:t>三</w:t>
      </w: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w:t>
      </w:r>
    </w:p>
    <w:tbl>
      <w:tblPr>
        <w:tblStyle w:val="22"/>
        <w:tblW w:w="8730" w:type="dxa"/>
        <w:jc w:val="center"/>
        <w:tblLayout w:type="fixed"/>
        <w:tblCellMar>
          <w:top w:w="0" w:type="dxa"/>
          <w:left w:w="108" w:type="dxa"/>
          <w:bottom w:w="0" w:type="dxa"/>
          <w:right w:w="108" w:type="dxa"/>
        </w:tblCellMar>
      </w:tblPr>
      <w:tblGrid>
        <w:gridCol w:w="2364"/>
        <w:gridCol w:w="1750"/>
        <w:gridCol w:w="1163"/>
        <w:gridCol w:w="1088"/>
        <w:gridCol w:w="1321"/>
        <w:gridCol w:w="1044"/>
      </w:tblGrid>
      <w:tr w14:paraId="15DF045D">
        <w:tblPrEx>
          <w:tblCellMar>
            <w:top w:w="0" w:type="dxa"/>
            <w:left w:w="108" w:type="dxa"/>
            <w:bottom w:w="0" w:type="dxa"/>
            <w:right w:w="108" w:type="dxa"/>
          </w:tblCellMar>
        </w:tblPrEx>
        <w:trPr>
          <w:trHeight w:val="0" w:hRule="atLeast"/>
          <w:tblHeader/>
          <w:jc w:val="center"/>
        </w:trPr>
        <w:tc>
          <w:tcPr>
            <w:tcW w:w="411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B6F396">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按范围分</w:t>
            </w:r>
          </w:p>
        </w:tc>
        <w:tc>
          <w:tcPr>
            <w:tcW w:w="2251" w:type="dxa"/>
            <w:gridSpan w:val="2"/>
            <w:tcBorders>
              <w:top w:val="single" w:color="auto" w:sz="4" w:space="0"/>
              <w:left w:val="nil"/>
              <w:bottom w:val="single" w:color="auto" w:sz="4" w:space="0"/>
              <w:right w:val="single" w:color="auto" w:sz="4" w:space="0"/>
            </w:tcBorders>
            <w:shd w:val="clear" w:color="auto" w:fill="auto"/>
            <w:vAlign w:val="center"/>
          </w:tcPr>
          <w:p w14:paraId="36021DAE">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lang w:val="en-US" w:eastAsia="zh-CN"/>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lang w:val="en-US" w:eastAsia="zh-CN"/>
                <w14:textFill>
                  <w14:solidFill>
                    <w14:schemeClr w14:val="tx1"/>
                  </w14:solidFill>
                </w14:textFill>
              </w:rPr>
              <w:t>按</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能源资源</w:t>
            </w:r>
            <w:r>
              <w:rPr>
                <w:rFonts w:hint="default" w:ascii="Times New Roman" w:hAnsi="Times New Roman" w:eastAsia="方正仿宋_GB2312" w:cs="Times New Roman"/>
                <w:b/>
                <w:bCs/>
                <w:color w:val="000000" w:themeColor="text1"/>
                <w:kern w:val="0"/>
                <w:sz w:val="20"/>
                <w:szCs w:val="20"/>
                <w:lang w:val="en-US" w:eastAsia="zh-CN"/>
                <w14:textFill>
                  <w14:solidFill>
                    <w14:schemeClr w14:val="tx1"/>
                  </w14:solidFill>
                </w14:textFill>
              </w:rPr>
              <w:t>分</w:t>
            </w:r>
          </w:p>
        </w:tc>
        <w:tc>
          <w:tcPr>
            <w:tcW w:w="1321" w:type="dxa"/>
            <w:tcBorders>
              <w:top w:val="single" w:color="auto" w:sz="4" w:space="0"/>
              <w:left w:val="nil"/>
              <w:bottom w:val="single" w:color="auto" w:sz="4" w:space="0"/>
              <w:right w:val="single" w:color="auto" w:sz="4" w:space="0"/>
            </w:tcBorders>
            <w:shd w:val="clear" w:color="auto" w:fill="auto"/>
            <w:vAlign w:val="center"/>
          </w:tcPr>
          <w:p w14:paraId="114AAA03">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活动水平</w:t>
            </w:r>
          </w:p>
        </w:tc>
        <w:tc>
          <w:tcPr>
            <w:tcW w:w="1044" w:type="dxa"/>
            <w:tcBorders>
              <w:top w:val="single" w:color="auto" w:sz="4" w:space="0"/>
              <w:left w:val="nil"/>
              <w:bottom w:val="single" w:color="auto" w:sz="4" w:space="0"/>
              <w:right w:val="single" w:color="auto" w:sz="4" w:space="0"/>
            </w:tcBorders>
            <w:shd w:val="clear" w:color="auto" w:fill="auto"/>
            <w:vAlign w:val="center"/>
          </w:tcPr>
          <w:p w14:paraId="69D15C81">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单位</w:t>
            </w:r>
          </w:p>
        </w:tc>
      </w:tr>
      <w:tr w14:paraId="51EB301A">
        <w:tblPrEx>
          <w:tblCellMar>
            <w:top w:w="0" w:type="dxa"/>
            <w:left w:w="108" w:type="dxa"/>
            <w:bottom w:w="0" w:type="dxa"/>
            <w:right w:w="108" w:type="dxa"/>
          </w:tblCellMar>
        </w:tblPrEx>
        <w:trPr>
          <w:trHeight w:val="0" w:hRule="atLeast"/>
          <w:jc w:val="center"/>
        </w:trPr>
        <w:tc>
          <w:tcPr>
            <w:tcW w:w="2364" w:type="dxa"/>
            <w:vMerge w:val="restart"/>
            <w:tcBorders>
              <w:top w:val="nil"/>
              <w:left w:val="single" w:color="auto" w:sz="4" w:space="0"/>
              <w:bottom w:val="single" w:color="auto" w:sz="4" w:space="0"/>
              <w:right w:val="single" w:color="auto" w:sz="4" w:space="0"/>
            </w:tcBorders>
            <w:shd w:val="clear" w:color="auto" w:fill="auto"/>
            <w:vAlign w:val="center"/>
          </w:tcPr>
          <w:p w14:paraId="17131EFE">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价值链</w:t>
            </w:r>
            <w:r>
              <w:rPr>
                <w:rFonts w:hint="default" w:ascii="Times New Roman" w:hAnsi="Times New Roman" w:eastAsia="方正仿宋_GB2312" w:cs="Times New Roman"/>
                <w:b w:val="0"/>
                <w:bCs/>
                <w:color w:val="000000" w:themeColor="text1"/>
                <w:kern w:val="0"/>
                <w:sz w:val="20"/>
                <w:szCs w:val="20"/>
                <w:lang w:val="en-US" w:eastAsia="zh-CN"/>
                <w14:textFill>
                  <w14:solidFill>
                    <w14:schemeClr w14:val="tx1"/>
                  </w14:solidFill>
                </w14:textFill>
              </w:rPr>
              <w:t>能源消耗</w:t>
            </w: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（范围三（不含投资））</w:t>
            </w:r>
          </w:p>
        </w:tc>
        <w:tc>
          <w:tcPr>
            <w:tcW w:w="1750" w:type="dxa"/>
            <w:vMerge w:val="restart"/>
            <w:tcBorders>
              <w:top w:val="nil"/>
              <w:left w:val="single" w:color="auto" w:sz="4" w:space="0"/>
              <w:bottom w:val="single" w:color="auto" w:sz="4" w:space="0"/>
              <w:right w:val="single" w:color="auto" w:sz="4" w:space="0"/>
            </w:tcBorders>
            <w:shd w:val="clear" w:color="auto" w:fill="auto"/>
            <w:vAlign w:val="center"/>
          </w:tcPr>
          <w:p w14:paraId="5A23EDC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购买商品与服务</w:t>
            </w:r>
          </w:p>
        </w:tc>
        <w:tc>
          <w:tcPr>
            <w:tcW w:w="2251" w:type="dxa"/>
            <w:gridSpan w:val="2"/>
            <w:tcBorders>
              <w:top w:val="single" w:color="auto" w:sz="4" w:space="0"/>
              <w:left w:val="nil"/>
              <w:bottom w:val="single" w:color="auto" w:sz="4" w:space="0"/>
              <w:right w:val="single" w:color="auto" w:sz="4" w:space="0"/>
            </w:tcBorders>
            <w:shd w:val="clear" w:color="auto" w:fill="auto"/>
            <w:vAlign w:val="center"/>
          </w:tcPr>
          <w:p w14:paraId="438E9F6E">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水</w:t>
            </w:r>
          </w:p>
        </w:tc>
        <w:tc>
          <w:tcPr>
            <w:tcW w:w="1321" w:type="dxa"/>
            <w:tcBorders>
              <w:top w:val="nil"/>
              <w:left w:val="nil"/>
              <w:bottom w:val="single" w:color="auto" w:sz="4" w:space="0"/>
              <w:right w:val="single" w:color="auto" w:sz="4" w:space="0"/>
            </w:tcBorders>
            <w:shd w:val="clear" w:color="auto" w:fill="auto"/>
            <w:vAlign w:val="center"/>
          </w:tcPr>
          <w:p w14:paraId="7ACBD9D4">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lang w:val="en-US" w:eastAsia="zh-CN"/>
                <w14:textFill>
                  <w14:solidFill>
                    <w14:schemeClr w14:val="tx1"/>
                  </w14:solidFill>
                </w14:textFill>
              </w:rPr>
            </w:pPr>
            <w:r>
              <w:rPr>
                <w:rFonts w:hint="default" w:ascii="Times New Roman" w:hAnsi="Times New Roman" w:eastAsia="方正仿宋_GB2312" w:cs="Times New Roman"/>
                <w:sz w:val="20"/>
                <w:szCs w:val="22"/>
              </w:rPr>
              <w:t>148.23</w:t>
            </w:r>
          </w:p>
        </w:tc>
        <w:tc>
          <w:tcPr>
            <w:tcW w:w="1044" w:type="dxa"/>
            <w:tcBorders>
              <w:top w:val="nil"/>
              <w:left w:val="nil"/>
              <w:bottom w:val="single" w:color="auto" w:sz="4" w:space="0"/>
              <w:right w:val="single" w:color="auto" w:sz="4" w:space="0"/>
            </w:tcBorders>
            <w:shd w:val="clear" w:color="auto" w:fill="auto"/>
            <w:vAlign w:val="center"/>
          </w:tcPr>
          <w:p w14:paraId="078E9101">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吨</w:t>
            </w:r>
          </w:p>
        </w:tc>
      </w:tr>
      <w:tr w14:paraId="22A62442">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15AC0C13">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continue"/>
            <w:tcBorders>
              <w:top w:val="nil"/>
              <w:left w:val="single" w:color="auto" w:sz="4" w:space="0"/>
              <w:bottom w:val="single" w:color="auto" w:sz="4" w:space="0"/>
              <w:right w:val="single" w:color="auto" w:sz="4" w:space="0"/>
            </w:tcBorders>
            <w:vAlign w:val="center"/>
          </w:tcPr>
          <w:p w14:paraId="06D4C3A4">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225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58B5C4">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纸张（普通A4打印纸）</w:t>
            </w:r>
          </w:p>
        </w:tc>
        <w:tc>
          <w:tcPr>
            <w:tcW w:w="1321" w:type="dxa"/>
            <w:tcBorders>
              <w:top w:val="nil"/>
              <w:left w:val="nil"/>
              <w:bottom w:val="single" w:color="auto" w:sz="4" w:space="0"/>
              <w:right w:val="single" w:color="auto" w:sz="4" w:space="0"/>
            </w:tcBorders>
            <w:shd w:val="clear" w:color="auto" w:fill="auto"/>
            <w:vAlign w:val="center"/>
          </w:tcPr>
          <w:p w14:paraId="449C0E65">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lang w:val="en-US" w:eastAsia="zh-CN"/>
                <w14:textFill>
                  <w14:solidFill>
                    <w14:schemeClr w14:val="tx1"/>
                  </w14:solidFill>
                </w14:textFill>
              </w:rPr>
            </w:pPr>
            <w:r>
              <w:rPr>
                <w:rFonts w:hint="default" w:ascii="Times New Roman" w:hAnsi="Times New Roman" w:eastAsia="方正仿宋_GB2312" w:cs="Times New Roman"/>
                <w:sz w:val="20"/>
                <w:szCs w:val="22"/>
              </w:rPr>
              <w:t>250.00</w:t>
            </w:r>
          </w:p>
        </w:tc>
        <w:tc>
          <w:tcPr>
            <w:tcW w:w="1044" w:type="dxa"/>
            <w:tcBorders>
              <w:top w:val="nil"/>
              <w:left w:val="nil"/>
              <w:bottom w:val="single" w:color="auto" w:sz="4" w:space="0"/>
              <w:right w:val="single" w:color="auto" w:sz="4" w:space="0"/>
            </w:tcBorders>
            <w:shd w:val="clear" w:color="auto" w:fill="auto"/>
            <w:vAlign w:val="center"/>
          </w:tcPr>
          <w:p w14:paraId="57EC828E">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万张</w:t>
            </w:r>
          </w:p>
        </w:tc>
      </w:tr>
      <w:tr w14:paraId="73CF8A11">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6E1CD717">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continue"/>
            <w:tcBorders>
              <w:top w:val="nil"/>
              <w:left w:val="single" w:color="auto" w:sz="4" w:space="0"/>
              <w:bottom w:val="single" w:color="auto" w:sz="4" w:space="0"/>
              <w:right w:val="single" w:color="auto" w:sz="4" w:space="0"/>
            </w:tcBorders>
            <w:vAlign w:val="center"/>
          </w:tcPr>
          <w:p w14:paraId="5D6DA9B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163" w:type="dxa"/>
            <w:tcBorders>
              <w:top w:val="nil"/>
              <w:left w:val="single" w:color="auto" w:sz="4" w:space="0"/>
              <w:bottom w:val="single" w:color="auto" w:sz="4" w:space="0"/>
              <w:right w:val="single" w:color="auto" w:sz="4" w:space="0"/>
            </w:tcBorders>
            <w:shd w:val="clear" w:color="auto" w:fill="auto"/>
            <w:vAlign w:val="center"/>
          </w:tcPr>
          <w:p w14:paraId="102E75A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员工食堂就餐</w:t>
            </w:r>
          </w:p>
        </w:tc>
        <w:tc>
          <w:tcPr>
            <w:tcW w:w="1088" w:type="dxa"/>
            <w:tcBorders>
              <w:top w:val="nil"/>
              <w:left w:val="nil"/>
              <w:bottom w:val="single" w:color="auto" w:sz="4" w:space="0"/>
              <w:right w:val="single" w:color="auto" w:sz="4" w:space="0"/>
            </w:tcBorders>
            <w:shd w:val="clear" w:color="auto" w:fill="auto"/>
            <w:vAlign w:val="center"/>
          </w:tcPr>
          <w:p w14:paraId="18B3D8F8">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人数</w:t>
            </w:r>
            <w:r>
              <w:rPr>
                <w:rFonts w:hint="default" w:ascii="Times New Roman" w:hAnsi="Times New Roman" w:eastAsia="方正仿宋_GB2312" w:cs="Times New Roman"/>
                <w:b w:val="0"/>
                <w:bCs/>
                <w:color w:val="000000" w:themeColor="text1"/>
                <w:kern w:val="0"/>
                <w:sz w:val="20"/>
                <w:szCs w:val="20"/>
                <w:lang w:eastAsia="zh-CN"/>
                <w14:textFill>
                  <w14:solidFill>
                    <w14:schemeClr w14:val="tx1"/>
                  </w14:solidFill>
                </w14:textFill>
              </w:rPr>
              <w:t>（</w:t>
            </w: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人均法</w:t>
            </w:r>
            <w:r>
              <w:rPr>
                <w:rFonts w:hint="default" w:ascii="Times New Roman" w:hAnsi="Times New Roman" w:eastAsia="方正仿宋_GB2312" w:cs="Times New Roman"/>
                <w:b w:val="0"/>
                <w:bCs/>
                <w:color w:val="000000" w:themeColor="text1"/>
                <w:kern w:val="0"/>
                <w:sz w:val="20"/>
                <w:szCs w:val="20"/>
                <w:lang w:eastAsia="zh-CN"/>
                <w14:textFill>
                  <w14:solidFill>
                    <w14:schemeClr w14:val="tx1"/>
                  </w14:solidFill>
                </w14:textFill>
              </w:rPr>
              <w:t>）</w:t>
            </w:r>
          </w:p>
        </w:tc>
        <w:tc>
          <w:tcPr>
            <w:tcW w:w="1321" w:type="dxa"/>
            <w:tcBorders>
              <w:top w:val="nil"/>
              <w:left w:val="nil"/>
              <w:bottom w:val="single" w:color="auto" w:sz="4" w:space="0"/>
              <w:right w:val="single" w:color="auto" w:sz="4" w:space="0"/>
            </w:tcBorders>
            <w:shd w:val="clear" w:color="auto" w:fill="auto"/>
            <w:vAlign w:val="center"/>
          </w:tcPr>
          <w:p w14:paraId="373B0B6A">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lang w:val="en-US"/>
                <w14:textFill>
                  <w14:solidFill>
                    <w14:schemeClr w14:val="tx1"/>
                  </w14:solidFill>
                </w14:textFill>
              </w:rPr>
            </w:pPr>
            <w:r>
              <w:rPr>
                <w:rFonts w:hint="default" w:ascii="Times New Roman" w:hAnsi="Times New Roman" w:eastAsia="方正仿宋_GB2312" w:cs="Times New Roman"/>
                <w:sz w:val="20"/>
                <w:szCs w:val="22"/>
              </w:rPr>
              <w:t>499.00</w:t>
            </w:r>
          </w:p>
        </w:tc>
        <w:tc>
          <w:tcPr>
            <w:tcW w:w="1044" w:type="dxa"/>
            <w:tcBorders>
              <w:top w:val="nil"/>
              <w:left w:val="nil"/>
              <w:bottom w:val="single" w:color="auto" w:sz="4" w:space="0"/>
              <w:right w:val="single" w:color="auto" w:sz="4" w:space="0"/>
            </w:tcBorders>
            <w:shd w:val="clear" w:color="auto" w:fill="auto"/>
            <w:vAlign w:val="center"/>
          </w:tcPr>
          <w:p w14:paraId="7D022273">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人·年</w:t>
            </w:r>
          </w:p>
        </w:tc>
      </w:tr>
      <w:tr w14:paraId="21BDF144">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25C3A0AB">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restart"/>
            <w:tcBorders>
              <w:top w:val="nil"/>
              <w:left w:val="single" w:color="auto" w:sz="4" w:space="0"/>
              <w:bottom w:val="nil"/>
              <w:right w:val="single" w:color="auto" w:sz="4" w:space="0"/>
            </w:tcBorders>
            <w:shd w:val="clear" w:color="auto" w:fill="auto"/>
            <w:noWrap/>
            <w:vAlign w:val="center"/>
          </w:tcPr>
          <w:p w14:paraId="07E41854">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上游运输和配送</w:t>
            </w:r>
          </w:p>
        </w:tc>
        <w:tc>
          <w:tcPr>
            <w:tcW w:w="1163" w:type="dxa"/>
            <w:vMerge w:val="restart"/>
            <w:tcBorders>
              <w:top w:val="nil"/>
              <w:left w:val="single" w:color="auto" w:sz="4" w:space="0"/>
              <w:bottom w:val="single" w:color="000000" w:sz="4" w:space="0"/>
              <w:right w:val="single" w:color="auto" w:sz="4" w:space="0"/>
            </w:tcBorders>
            <w:shd w:val="clear" w:color="auto" w:fill="auto"/>
            <w:vAlign w:val="center"/>
          </w:tcPr>
          <w:p w14:paraId="10E5828A">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外包班车</w:t>
            </w:r>
          </w:p>
        </w:tc>
        <w:tc>
          <w:tcPr>
            <w:tcW w:w="1088" w:type="dxa"/>
            <w:tcBorders>
              <w:top w:val="nil"/>
              <w:left w:val="nil"/>
              <w:bottom w:val="single" w:color="auto" w:sz="4" w:space="0"/>
              <w:right w:val="single" w:color="auto" w:sz="4" w:space="0"/>
            </w:tcBorders>
            <w:shd w:val="clear" w:color="auto" w:fill="auto"/>
            <w:vAlign w:val="center"/>
          </w:tcPr>
          <w:p w14:paraId="430C8A76">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汽油小客车</w:t>
            </w:r>
          </w:p>
        </w:tc>
        <w:tc>
          <w:tcPr>
            <w:tcW w:w="1321" w:type="dxa"/>
            <w:tcBorders>
              <w:top w:val="nil"/>
              <w:left w:val="nil"/>
              <w:bottom w:val="single" w:color="auto" w:sz="4" w:space="0"/>
              <w:right w:val="single" w:color="auto" w:sz="4" w:space="0"/>
            </w:tcBorders>
            <w:shd w:val="clear" w:color="auto" w:fill="auto"/>
            <w:vAlign w:val="center"/>
          </w:tcPr>
          <w:p w14:paraId="77A82BB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lang w:val="en-US"/>
                <w14:textFill>
                  <w14:solidFill>
                    <w14:schemeClr w14:val="tx1"/>
                  </w14:solidFill>
                </w14:textFill>
              </w:rPr>
            </w:pPr>
            <w:r>
              <w:rPr>
                <w:rFonts w:hint="default" w:ascii="Times New Roman" w:hAnsi="Times New Roman" w:eastAsia="方正仿宋_GB2312" w:cs="Times New Roman"/>
                <w:sz w:val="20"/>
                <w:szCs w:val="22"/>
              </w:rPr>
              <w:t>0.00</w:t>
            </w:r>
          </w:p>
        </w:tc>
        <w:tc>
          <w:tcPr>
            <w:tcW w:w="1044" w:type="dxa"/>
            <w:tcBorders>
              <w:top w:val="nil"/>
              <w:left w:val="nil"/>
              <w:bottom w:val="single" w:color="auto" w:sz="4" w:space="0"/>
              <w:right w:val="single" w:color="auto" w:sz="4" w:space="0"/>
            </w:tcBorders>
            <w:shd w:val="clear" w:color="auto" w:fill="auto"/>
            <w:vAlign w:val="center"/>
          </w:tcPr>
          <w:p w14:paraId="127D6CD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人·千米</w:t>
            </w:r>
          </w:p>
        </w:tc>
      </w:tr>
      <w:tr w14:paraId="76F56D39">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4A254F4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continue"/>
            <w:tcBorders>
              <w:top w:val="nil"/>
              <w:left w:val="single" w:color="auto" w:sz="4" w:space="0"/>
              <w:bottom w:val="nil"/>
              <w:right w:val="single" w:color="auto" w:sz="4" w:space="0"/>
            </w:tcBorders>
            <w:vAlign w:val="center"/>
          </w:tcPr>
          <w:p w14:paraId="38E432A5">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163" w:type="dxa"/>
            <w:vMerge w:val="continue"/>
            <w:tcBorders>
              <w:top w:val="nil"/>
              <w:left w:val="single" w:color="auto" w:sz="4" w:space="0"/>
              <w:bottom w:val="single" w:color="000000" w:sz="4" w:space="0"/>
              <w:right w:val="single" w:color="auto" w:sz="4" w:space="0"/>
            </w:tcBorders>
            <w:vAlign w:val="center"/>
          </w:tcPr>
          <w:p w14:paraId="63E64E0A">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088" w:type="dxa"/>
            <w:tcBorders>
              <w:top w:val="nil"/>
              <w:left w:val="nil"/>
              <w:bottom w:val="single" w:color="auto" w:sz="4" w:space="0"/>
              <w:right w:val="single" w:color="auto" w:sz="4" w:space="0"/>
            </w:tcBorders>
            <w:shd w:val="clear" w:color="auto" w:fill="auto"/>
            <w:vAlign w:val="center"/>
          </w:tcPr>
          <w:p w14:paraId="3EC0DE0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t>柴油小客车</w:t>
            </w:r>
          </w:p>
        </w:tc>
        <w:tc>
          <w:tcPr>
            <w:tcW w:w="1321" w:type="dxa"/>
            <w:tcBorders>
              <w:top w:val="nil"/>
              <w:left w:val="nil"/>
              <w:bottom w:val="single" w:color="auto" w:sz="4" w:space="0"/>
              <w:right w:val="single" w:color="auto" w:sz="4" w:space="0"/>
            </w:tcBorders>
            <w:shd w:val="clear" w:color="auto" w:fill="auto"/>
            <w:vAlign w:val="center"/>
          </w:tcPr>
          <w:p w14:paraId="01B084E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highlight w:val="none"/>
                <w14:textFill>
                  <w14:solidFill>
                    <w14:schemeClr w14:val="tx1"/>
                  </w14:solidFill>
                </w14:textFill>
              </w:rPr>
            </w:pPr>
            <w:r>
              <w:rPr>
                <w:rFonts w:hint="default" w:ascii="Times New Roman" w:hAnsi="Times New Roman" w:eastAsia="方正仿宋_GB2312" w:cs="Times New Roman"/>
                <w:sz w:val="20"/>
                <w:szCs w:val="22"/>
              </w:rPr>
              <w:t>0.00</w:t>
            </w:r>
          </w:p>
        </w:tc>
        <w:tc>
          <w:tcPr>
            <w:tcW w:w="1044" w:type="dxa"/>
            <w:tcBorders>
              <w:top w:val="nil"/>
              <w:left w:val="nil"/>
              <w:bottom w:val="single" w:color="auto" w:sz="4" w:space="0"/>
              <w:right w:val="single" w:color="auto" w:sz="4" w:space="0"/>
            </w:tcBorders>
            <w:shd w:val="clear" w:color="auto" w:fill="auto"/>
            <w:vAlign w:val="center"/>
          </w:tcPr>
          <w:p w14:paraId="717FF03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人·千米</w:t>
            </w:r>
          </w:p>
        </w:tc>
      </w:tr>
      <w:tr w14:paraId="09118916">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5FC92DD8">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continue"/>
            <w:tcBorders>
              <w:top w:val="nil"/>
              <w:left w:val="single" w:color="auto" w:sz="4" w:space="0"/>
              <w:bottom w:val="nil"/>
              <w:right w:val="single" w:color="auto" w:sz="4" w:space="0"/>
            </w:tcBorders>
            <w:vAlign w:val="center"/>
          </w:tcPr>
          <w:p w14:paraId="27176951">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163" w:type="dxa"/>
            <w:tcBorders>
              <w:top w:val="nil"/>
              <w:left w:val="nil"/>
              <w:bottom w:val="single" w:color="auto" w:sz="4" w:space="0"/>
              <w:right w:val="single" w:color="auto" w:sz="4" w:space="0"/>
            </w:tcBorders>
            <w:shd w:val="clear" w:color="auto" w:fill="auto"/>
            <w:vAlign w:val="center"/>
          </w:tcPr>
          <w:p w14:paraId="599B4AD4">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押解车辆</w:t>
            </w:r>
          </w:p>
        </w:tc>
        <w:tc>
          <w:tcPr>
            <w:tcW w:w="1088" w:type="dxa"/>
            <w:tcBorders>
              <w:top w:val="nil"/>
              <w:left w:val="nil"/>
              <w:bottom w:val="single" w:color="auto" w:sz="4" w:space="0"/>
              <w:right w:val="single" w:color="auto" w:sz="4" w:space="0"/>
            </w:tcBorders>
            <w:shd w:val="clear" w:color="auto" w:fill="auto"/>
            <w:vAlign w:val="center"/>
          </w:tcPr>
          <w:p w14:paraId="2E322C5A">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highlight w:val="none"/>
                <w:lang w:val="en-US" w:eastAsia="zh-CN"/>
                <w14:textFill>
                  <w14:solidFill>
                    <w14:schemeClr w14:val="tx1"/>
                  </w14:solidFill>
                </w14:textFill>
              </w:rPr>
              <w:t>轻型</w:t>
            </w:r>
            <w:r>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t>货车</w:t>
            </w:r>
          </w:p>
        </w:tc>
        <w:tc>
          <w:tcPr>
            <w:tcW w:w="1321" w:type="dxa"/>
            <w:tcBorders>
              <w:top w:val="nil"/>
              <w:left w:val="nil"/>
              <w:bottom w:val="single" w:color="auto" w:sz="4" w:space="0"/>
              <w:right w:val="single" w:color="auto" w:sz="4" w:space="0"/>
            </w:tcBorders>
            <w:shd w:val="clear" w:color="auto" w:fill="auto"/>
            <w:vAlign w:val="center"/>
          </w:tcPr>
          <w:p w14:paraId="463789C7">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highlight w:val="none"/>
                <w14:textFill>
                  <w14:solidFill>
                    <w14:schemeClr w14:val="tx1"/>
                  </w14:solidFill>
                </w14:textFill>
              </w:rPr>
            </w:pPr>
            <w:r>
              <w:rPr>
                <w:rFonts w:hint="default" w:ascii="Times New Roman" w:hAnsi="Times New Roman" w:eastAsia="方正仿宋_GB2312" w:cs="Times New Roman"/>
                <w:sz w:val="20"/>
                <w:szCs w:val="22"/>
              </w:rPr>
              <w:t>8400.00</w:t>
            </w:r>
          </w:p>
        </w:tc>
        <w:tc>
          <w:tcPr>
            <w:tcW w:w="1044" w:type="dxa"/>
            <w:tcBorders>
              <w:top w:val="nil"/>
              <w:left w:val="nil"/>
              <w:bottom w:val="single" w:color="auto" w:sz="4" w:space="0"/>
              <w:right w:val="single" w:color="auto" w:sz="4" w:space="0"/>
            </w:tcBorders>
            <w:shd w:val="clear" w:color="auto" w:fill="auto"/>
            <w:vAlign w:val="center"/>
          </w:tcPr>
          <w:p w14:paraId="4E19C5EF">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吨·千米</w:t>
            </w:r>
          </w:p>
        </w:tc>
      </w:tr>
      <w:tr w14:paraId="50CF4157">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018C6BF4">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46CD9C4">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运营中产生的废物</w:t>
            </w:r>
          </w:p>
        </w:tc>
        <w:tc>
          <w:tcPr>
            <w:tcW w:w="1163" w:type="dxa"/>
            <w:vMerge w:val="restart"/>
            <w:tcBorders>
              <w:top w:val="nil"/>
              <w:left w:val="single" w:color="auto" w:sz="4" w:space="0"/>
              <w:bottom w:val="single" w:color="000000" w:sz="4" w:space="0"/>
              <w:right w:val="single" w:color="auto" w:sz="4" w:space="0"/>
            </w:tcBorders>
            <w:shd w:val="clear" w:color="auto" w:fill="auto"/>
            <w:vAlign w:val="center"/>
          </w:tcPr>
          <w:p w14:paraId="5EC721A0">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废弃物处置</w:t>
            </w:r>
          </w:p>
        </w:tc>
        <w:tc>
          <w:tcPr>
            <w:tcW w:w="1088" w:type="dxa"/>
            <w:tcBorders>
              <w:top w:val="nil"/>
              <w:left w:val="nil"/>
              <w:bottom w:val="single" w:color="auto" w:sz="4" w:space="0"/>
              <w:right w:val="single" w:color="auto" w:sz="4" w:space="0"/>
            </w:tcBorders>
            <w:shd w:val="clear" w:color="auto" w:fill="auto"/>
            <w:vAlign w:val="center"/>
          </w:tcPr>
          <w:p w14:paraId="4E315E71">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t>其他垃圾</w:t>
            </w:r>
          </w:p>
        </w:tc>
        <w:tc>
          <w:tcPr>
            <w:tcW w:w="1321" w:type="dxa"/>
            <w:tcBorders>
              <w:top w:val="nil"/>
              <w:left w:val="nil"/>
              <w:bottom w:val="single" w:color="auto" w:sz="4" w:space="0"/>
              <w:right w:val="single" w:color="auto" w:sz="4" w:space="0"/>
            </w:tcBorders>
            <w:shd w:val="clear" w:color="auto" w:fill="auto"/>
            <w:vAlign w:val="center"/>
          </w:tcPr>
          <w:p w14:paraId="57D6424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highlight w:val="none"/>
                <w14:textFill>
                  <w14:solidFill>
                    <w14:schemeClr w14:val="tx1"/>
                  </w14:solidFill>
                </w14:textFill>
              </w:rPr>
            </w:pPr>
            <w:r>
              <w:rPr>
                <w:rFonts w:hint="default" w:ascii="Times New Roman" w:hAnsi="Times New Roman" w:eastAsia="方正仿宋_GB2312" w:cs="Times New Roman"/>
                <w:sz w:val="20"/>
                <w:szCs w:val="22"/>
              </w:rPr>
              <w:t>5.00</w:t>
            </w:r>
          </w:p>
        </w:tc>
        <w:tc>
          <w:tcPr>
            <w:tcW w:w="1044" w:type="dxa"/>
            <w:tcBorders>
              <w:top w:val="nil"/>
              <w:left w:val="nil"/>
              <w:bottom w:val="single" w:color="auto" w:sz="4" w:space="0"/>
              <w:right w:val="single" w:color="auto" w:sz="4" w:space="0"/>
            </w:tcBorders>
            <w:shd w:val="clear" w:color="auto" w:fill="auto"/>
            <w:vAlign w:val="center"/>
          </w:tcPr>
          <w:p w14:paraId="78E95E3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吨</w:t>
            </w:r>
          </w:p>
        </w:tc>
      </w:tr>
      <w:tr w14:paraId="2CF0A0AD">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74DE265C">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continue"/>
            <w:tcBorders>
              <w:top w:val="single" w:color="auto" w:sz="4" w:space="0"/>
              <w:left w:val="single" w:color="auto" w:sz="4" w:space="0"/>
              <w:bottom w:val="single" w:color="auto" w:sz="4" w:space="0"/>
              <w:right w:val="single" w:color="auto" w:sz="4" w:space="0"/>
            </w:tcBorders>
            <w:vAlign w:val="center"/>
          </w:tcPr>
          <w:p w14:paraId="2E2D107C">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163" w:type="dxa"/>
            <w:vMerge w:val="continue"/>
            <w:tcBorders>
              <w:top w:val="nil"/>
              <w:left w:val="single" w:color="auto" w:sz="4" w:space="0"/>
              <w:bottom w:val="single" w:color="000000" w:sz="4" w:space="0"/>
              <w:right w:val="single" w:color="auto" w:sz="4" w:space="0"/>
            </w:tcBorders>
            <w:vAlign w:val="center"/>
          </w:tcPr>
          <w:p w14:paraId="3F104C5D">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088" w:type="dxa"/>
            <w:tcBorders>
              <w:top w:val="nil"/>
              <w:left w:val="nil"/>
              <w:bottom w:val="single" w:color="auto" w:sz="4" w:space="0"/>
              <w:right w:val="single" w:color="auto" w:sz="4" w:space="0"/>
            </w:tcBorders>
            <w:shd w:val="clear" w:color="auto" w:fill="auto"/>
            <w:vAlign w:val="center"/>
          </w:tcPr>
          <w:p w14:paraId="761A4B41">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厨余垃圾</w:t>
            </w:r>
          </w:p>
        </w:tc>
        <w:tc>
          <w:tcPr>
            <w:tcW w:w="1321" w:type="dxa"/>
            <w:tcBorders>
              <w:top w:val="nil"/>
              <w:left w:val="nil"/>
              <w:bottom w:val="single" w:color="auto" w:sz="4" w:space="0"/>
              <w:right w:val="single" w:color="auto" w:sz="4" w:space="0"/>
            </w:tcBorders>
            <w:shd w:val="clear" w:color="auto" w:fill="auto"/>
            <w:vAlign w:val="center"/>
          </w:tcPr>
          <w:p w14:paraId="17832F4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lang w:val="en-US"/>
                <w14:textFill>
                  <w14:solidFill>
                    <w14:schemeClr w14:val="tx1"/>
                  </w14:solidFill>
                </w14:textFill>
              </w:rPr>
            </w:pPr>
            <w:r>
              <w:rPr>
                <w:rFonts w:hint="default" w:ascii="Times New Roman" w:hAnsi="Times New Roman" w:eastAsia="方正仿宋_GB2312" w:cs="Times New Roman"/>
                <w:sz w:val="20"/>
                <w:szCs w:val="22"/>
              </w:rPr>
              <w:t>50.00</w:t>
            </w:r>
          </w:p>
        </w:tc>
        <w:tc>
          <w:tcPr>
            <w:tcW w:w="1044" w:type="dxa"/>
            <w:tcBorders>
              <w:top w:val="nil"/>
              <w:left w:val="nil"/>
              <w:bottom w:val="single" w:color="auto" w:sz="4" w:space="0"/>
              <w:right w:val="single" w:color="auto" w:sz="4" w:space="0"/>
            </w:tcBorders>
            <w:shd w:val="clear" w:color="auto" w:fill="auto"/>
            <w:vAlign w:val="center"/>
          </w:tcPr>
          <w:p w14:paraId="49C208A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吨</w:t>
            </w:r>
          </w:p>
        </w:tc>
      </w:tr>
      <w:tr w14:paraId="6FF9F820">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71F6F30B">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restart"/>
            <w:tcBorders>
              <w:top w:val="nil"/>
              <w:left w:val="single" w:color="auto" w:sz="4" w:space="0"/>
              <w:bottom w:val="single" w:color="auto" w:sz="4" w:space="0"/>
              <w:right w:val="single" w:color="auto" w:sz="4" w:space="0"/>
            </w:tcBorders>
            <w:shd w:val="clear" w:color="auto" w:fill="auto"/>
            <w:vAlign w:val="center"/>
          </w:tcPr>
          <w:p w14:paraId="26B39D17">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差旅</w:t>
            </w:r>
          </w:p>
        </w:tc>
        <w:tc>
          <w:tcPr>
            <w:tcW w:w="1163" w:type="dxa"/>
            <w:vMerge w:val="restart"/>
            <w:tcBorders>
              <w:top w:val="nil"/>
              <w:left w:val="single" w:color="auto" w:sz="4" w:space="0"/>
              <w:bottom w:val="single" w:color="auto" w:sz="4" w:space="0"/>
              <w:right w:val="single" w:color="auto" w:sz="4" w:space="0"/>
            </w:tcBorders>
            <w:shd w:val="clear" w:color="auto" w:fill="auto"/>
            <w:vAlign w:val="center"/>
          </w:tcPr>
          <w:p w14:paraId="08B7916C">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员工差旅出行</w:t>
            </w:r>
          </w:p>
        </w:tc>
        <w:tc>
          <w:tcPr>
            <w:tcW w:w="1088" w:type="dxa"/>
            <w:tcBorders>
              <w:top w:val="nil"/>
              <w:left w:val="nil"/>
              <w:bottom w:val="single" w:color="auto" w:sz="4" w:space="0"/>
              <w:right w:val="single" w:color="auto" w:sz="4" w:space="0"/>
            </w:tcBorders>
            <w:shd w:val="clear" w:color="auto" w:fill="auto"/>
            <w:vAlign w:val="center"/>
          </w:tcPr>
          <w:p w14:paraId="618BAEE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t>乘坐飞机</w:t>
            </w:r>
          </w:p>
        </w:tc>
        <w:tc>
          <w:tcPr>
            <w:tcW w:w="1321" w:type="dxa"/>
            <w:tcBorders>
              <w:top w:val="nil"/>
              <w:left w:val="nil"/>
              <w:bottom w:val="single" w:color="auto" w:sz="4" w:space="0"/>
              <w:right w:val="single" w:color="auto" w:sz="4" w:space="0"/>
            </w:tcBorders>
            <w:shd w:val="clear" w:color="auto" w:fill="auto"/>
            <w:vAlign w:val="center"/>
          </w:tcPr>
          <w:p w14:paraId="649195AF">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highlight w:val="none"/>
                <w14:textFill>
                  <w14:solidFill>
                    <w14:schemeClr w14:val="tx1"/>
                  </w14:solidFill>
                </w14:textFill>
              </w:rPr>
            </w:pPr>
            <w:r>
              <w:rPr>
                <w:rFonts w:hint="default" w:ascii="Times New Roman" w:hAnsi="Times New Roman" w:eastAsia="方正仿宋_GB2312" w:cs="Times New Roman"/>
                <w:sz w:val="20"/>
                <w:szCs w:val="22"/>
              </w:rPr>
              <w:t>0.00</w:t>
            </w:r>
          </w:p>
        </w:tc>
        <w:tc>
          <w:tcPr>
            <w:tcW w:w="1044" w:type="dxa"/>
            <w:tcBorders>
              <w:top w:val="nil"/>
              <w:left w:val="nil"/>
              <w:bottom w:val="single" w:color="auto" w:sz="4" w:space="0"/>
              <w:right w:val="single" w:color="auto" w:sz="4" w:space="0"/>
            </w:tcBorders>
            <w:shd w:val="clear" w:color="auto" w:fill="auto"/>
            <w:vAlign w:val="center"/>
          </w:tcPr>
          <w:p w14:paraId="16C17A0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人·千米</w:t>
            </w:r>
          </w:p>
        </w:tc>
      </w:tr>
      <w:tr w14:paraId="580B741D">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539B2CFB">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continue"/>
            <w:tcBorders>
              <w:top w:val="nil"/>
              <w:left w:val="single" w:color="auto" w:sz="4" w:space="0"/>
              <w:bottom w:val="single" w:color="auto" w:sz="4" w:space="0"/>
              <w:right w:val="single" w:color="auto" w:sz="4" w:space="0"/>
            </w:tcBorders>
            <w:vAlign w:val="center"/>
          </w:tcPr>
          <w:p w14:paraId="2FE65207">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163" w:type="dxa"/>
            <w:vMerge w:val="continue"/>
            <w:tcBorders>
              <w:top w:val="nil"/>
              <w:left w:val="single" w:color="auto" w:sz="4" w:space="0"/>
              <w:bottom w:val="single" w:color="auto" w:sz="4" w:space="0"/>
              <w:right w:val="single" w:color="auto" w:sz="4" w:space="0"/>
            </w:tcBorders>
            <w:vAlign w:val="center"/>
          </w:tcPr>
          <w:p w14:paraId="760CAAA4">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088" w:type="dxa"/>
            <w:tcBorders>
              <w:top w:val="nil"/>
              <w:left w:val="nil"/>
              <w:bottom w:val="single" w:color="auto" w:sz="4" w:space="0"/>
              <w:right w:val="single" w:color="auto" w:sz="4" w:space="0"/>
            </w:tcBorders>
            <w:shd w:val="clear" w:color="auto" w:fill="auto"/>
            <w:vAlign w:val="center"/>
          </w:tcPr>
          <w:p w14:paraId="69B678F6">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t>乘坐高铁</w:t>
            </w:r>
          </w:p>
        </w:tc>
        <w:tc>
          <w:tcPr>
            <w:tcW w:w="1321" w:type="dxa"/>
            <w:tcBorders>
              <w:top w:val="nil"/>
              <w:left w:val="nil"/>
              <w:bottom w:val="single" w:color="auto" w:sz="4" w:space="0"/>
              <w:right w:val="single" w:color="auto" w:sz="4" w:space="0"/>
            </w:tcBorders>
            <w:shd w:val="clear" w:color="auto" w:fill="auto"/>
            <w:vAlign w:val="center"/>
          </w:tcPr>
          <w:p w14:paraId="1B331A1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highlight w:val="none"/>
                <w14:textFill>
                  <w14:solidFill>
                    <w14:schemeClr w14:val="tx1"/>
                  </w14:solidFill>
                </w14:textFill>
              </w:rPr>
            </w:pPr>
            <w:r>
              <w:rPr>
                <w:rFonts w:hint="default" w:ascii="Times New Roman" w:hAnsi="Times New Roman" w:eastAsia="方正仿宋_GB2312" w:cs="Times New Roman"/>
                <w:sz w:val="20"/>
                <w:szCs w:val="22"/>
              </w:rPr>
              <w:t>10920.00</w:t>
            </w:r>
          </w:p>
        </w:tc>
        <w:tc>
          <w:tcPr>
            <w:tcW w:w="1044" w:type="dxa"/>
            <w:tcBorders>
              <w:top w:val="nil"/>
              <w:left w:val="nil"/>
              <w:bottom w:val="single" w:color="auto" w:sz="4" w:space="0"/>
              <w:right w:val="single" w:color="auto" w:sz="4" w:space="0"/>
            </w:tcBorders>
            <w:shd w:val="clear" w:color="auto" w:fill="auto"/>
            <w:vAlign w:val="center"/>
          </w:tcPr>
          <w:p w14:paraId="4CF01609">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人·千米</w:t>
            </w:r>
          </w:p>
        </w:tc>
      </w:tr>
      <w:tr w14:paraId="64A2E467">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081A0391">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continue"/>
            <w:tcBorders>
              <w:top w:val="nil"/>
              <w:left w:val="single" w:color="auto" w:sz="4" w:space="0"/>
              <w:bottom w:val="single" w:color="auto" w:sz="4" w:space="0"/>
              <w:right w:val="single" w:color="auto" w:sz="4" w:space="0"/>
            </w:tcBorders>
            <w:vAlign w:val="center"/>
          </w:tcPr>
          <w:p w14:paraId="75C75EA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163" w:type="dxa"/>
            <w:vMerge w:val="continue"/>
            <w:tcBorders>
              <w:top w:val="nil"/>
              <w:left w:val="single" w:color="auto" w:sz="4" w:space="0"/>
              <w:bottom w:val="single" w:color="auto" w:sz="4" w:space="0"/>
              <w:right w:val="single" w:color="auto" w:sz="4" w:space="0"/>
            </w:tcBorders>
            <w:vAlign w:val="center"/>
          </w:tcPr>
          <w:p w14:paraId="54BDD3D6">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088" w:type="dxa"/>
            <w:tcBorders>
              <w:top w:val="nil"/>
              <w:left w:val="nil"/>
              <w:bottom w:val="single" w:color="auto" w:sz="4" w:space="0"/>
              <w:right w:val="single" w:color="auto" w:sz="4" w:space="0"/>
            </w:tcBorders>
            <w:shd w:val="clear" w:color="auto" w:fill="auto"/>
            <w:vAlign w:val="center"/>
          </w:tcPr>
          <w:p w14:paraId="40D2B5AB">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t>乘坐出租车</w:t>
            </w:r>
          </w:p>
        </w:tc>
        <w:tc>
          <w:tcPr>
            <w:tcW w:w="1321" w:type="dxa"/>
            <w:tcBorders>
              <w:top w:val="nil"/>
              <w:left w:val="nil"/>
              <w:bottom w:val="single" w:color="auto" w:sz="4" w:space="0"/>
              <w:right w:val="single" w:color="auto" w:sz="4" w:space="0"/>
            </w:tcBorders>
            <w:shd w:val="clear" w:color="auto" w:fill="auto"/>
            <w:vAlign w:val="center"/>
          </w:tcPr>
          <w:p w14:paraId="47CCF03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highlight w:val="none"/>
                <w14:textFill>
                  <w14:solidFill>
                    <w14:schemeClr w14:val="tx1"/>
                  </w14:solidFill>
                </w14:textFill>
              </w:rPr>
            </w:pPr>
            <w:r>
              <w:rPr>
                <w:rFonts w:hint="default" w:ascii="Times New Roman" w:hAnsi="Times New Roman" w:eastAsia="方正仿宋_GB2312" w:cs="Times New Roman"/>
                <w:sz w:val="20"/>
                <w:szCs w:val="22"/>
              </w:rPr>
              <w:t>1495.00</w:t>
            </w:r>
          </w:p>
        </w:tc>
        <w:tc>
          <w:tcPr>
            <w:tcW w:w="1044" w:type="dxa"/>
            <w:tcBorders>
              <w:top w:val="nil"/>
              <w:left w:val="nil"/>
              <w:bottom w:val="single" w:color="auto" w:sz="4" w:space="0"/>
              <w:right w:val="single" w:color="auto" w:sz="4" w:space="0"/>
            </w:tcBorders>
            <w:shd w:val="clear" w:color="auto" w:fill="auto"/>
            <w:vAlign w:val="center"/>
          </w:tcPr>
          <w:p w14:paraId="76CA83E0">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人·千米</w:t>
            </w:r>
          </w:p>
        </w:tc>
      </w:tr>
      <w:tr w14:paraId="5A99A101">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4EE242B8">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continue"/>
            <w:tcBorders>
              <w:top w:val="nil"/>
              <w:left w:val="single" w:color="auto" w:sz="4" w:space="0"/>
              <w:bottom w:val="single" w:color="auto" w:sz="4" w:space="0"/>
              <w:right w:val="single" w:color="auto" w:sz="4" w:space="0"/>
            </w:tcBorders>
            <w:vAlign w:val="center"/>
          </w:tcPr>
          <w:p w14:paraId="5B174690">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2251" w:type="dxa"/>
            <w:gridSpan w:val="2"/>
            <w:tcBorders>
              <w:top w:val="single" w:color="auto" w:sz="4" w:space="0"/>
              <w:left w:val="nil"/>
              <w:bottom w:val="single" w:color="auto" w:sz="4" w:space="0"/>
              <w:right w:val="single" w:color="auto" w:sz="4" w:space="0"/>
            </w:tcBorders>
            <w:shd w:val="clear" w:color="auto" w:fill="auto"/>
            <w:vAlign w:val="center"/>
          </w:tcPr>
          <w:p w14:paraId="1484CD4D">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highlight w:val="none"/>
                <w14:textFill>
                  <w14:solidFill>
                    <w14:schemeClr w14:val="tx1"/>
                  </w14:solidFill>
                </w14:textFill>
              </w:rPr>
              <w:t>员工差旅住宿</w:t>
            </w:r>
          </w:p>
        </w:tc>
        <w:tc>
          <w:tcPr>
            <w:tcW w:w="1321" w:type="dxa"/>
            <w:tcBorders>
              <w:top w:val="nil"/>
              <w:left w:val="nil"/>
              <w:bottom w:val="single" w:color="auto" w:sz="4" w:space="0"/>
              <w:right w:val="single" w:color="auto" w:sz="4" w:space="0"/>
            </w:tcBorders>
            <w:shd w:val="clear" w:color="auto" w:fill="auto"/>
            <w:vAlign w:val="center"/>
          </w:tcPr>
          <w:p w14:paraId="0572B93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highlight w:val="none"/>
                <w14:textFill>
                  <w14:solidFill>
                    <w14:schemeClr w14:val="tx1"/>
                  </w14:solidFill>
                </w14:textFill>
              </w:rPr>
            </w:pPr>
            <w:r>
              <w:rPr>
                <w:rFonts w:hint="default" w:ascii="Times New Roman" w:hAnsi="Times New Roman" w:eastAsia="方正仿宋_GB2312" w:cs="Times New Roman"/>
                <w:sz w:val="20"/>
                <w:szCs w:val="22"/>
              </w:rPr>
              <w:t>1524.00</w:t>
            </w:r>
          </w:p>
        </w:tc>
        <w:tc>
          <w:tcPr>
            <w:tcW w:w="1044" w:type="dxa"/>
            <w:tcBorders>
              <w:top w:val="nil"/>
              <w:left w:val="nil"/>
              <w:bottom w:val="single" w:color="auto" w:sz="4" w:space="0"/>
              <w:right w:val="single" w:color="auto" w:sz="4" w:space="0"/>
            </w:tcBorders>
            <w:shd w:val="clear" w:color="auto" w:fill="auto"/>
            <w:vAlign w:val="center"/>
          </w:tcPr>
          <w:p w14:paraId="444EC64A">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晚·房间</w:t>
            </w:r>
          </w:p>
        </w:tc>
      </w:tr>
      <w:tr w14:paraId="527DC9FB">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0FB2F3B6">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restart"/>
            <w:tcBorders>
              <w:top w:val="nil"/>
              <w:left w:val="single" w:color="auto" w:sz="4" w:space="0"/>
              <w:bottom w:val="single" w:color="auto" w:sz="4" w:space="0"/>
              <w:right w:val="single" w:color="auto" w:sz="4" w:space="0"/>
            </w:tcBorders>
            <w:shd w:val="clear" w:color="auto" w:fill="auto"/>
            <w:vAlign w:val="center"/>
          </w:tcPr>
          <w:p w14:paraId="32263784">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员工通勤</w:t>
            </w:r>
          </w:p>
        </w:tc>
        <w:tc>
          <w:tcPr>
            <w:tcW w:w="2251" w:type="dxa"/>
            <w:gridSpan w:val="2"/>
            <w:tcBorders>
              <w:top w:val="single" w:color="auto" w:sz="4" w:space="0"/>
              <w:left w:val="nil"/>
              <w:bottom w:val="single" w:color="auto" w:sz="4" w:space="0"/>
              <w:right w:val="single" w:color="auto" w:sz="4" w:space="0"/>
            </w:tcBorders>
            <w:shd w:val="clear" w:color="auto" w:fill="auto"/>
            <w:vAlign w:val="center"/>
          </w:tcPr>
          <w:p w14:paraId="2B5FC83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公交车</w:t>
            </w:r>
          </w:p>
        </w:tc>
        <w:tc>
          <w:tcPr>
            <w:tcW w:w="1321" w:type="dxa"/>
            <w:tcBorders>
              <w:top w:val="nil"/>
              <w:left w:val="nil"/>
              <w:bottom w:val="single" w:color="auto" w:sz="4" w:space="0"/>
              <w:right w:val="single" w:color="auto" w:sz="4" w:space="0"/>
            </w:tcBorders>
            <w:shd w:val="clear" w:color="auto" w:fill="auto"/>
            <w:vAlign w:val="center"/>
          </w:tcPr>
          <w:p w14:paraId="079D77A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lang w:val="en-US"/>
                <w14:textFill>
                  <w14:solidFill>
                    <w14:schemeClr w14:val="tx1"/>
                  </w14:solidFill>
                </w14:textFill>
              </w:rPr>
            </w:pPr>
            <w:r>
              <w:rPr>
                <w:rFonts w:hint="default" w:ascii="Times New Roman" w:hAnsi="Times New Roman" w:eastAsia="方正仿宋_GB2312" w:cs="Times New Roman"/>
                <w:sz w:val="20"/>
                <w:szCs w:val="22"/>
              </w:rPr>
              <w:t>154690.00</w:t>
            </w:r>
          </w:p>
        </w:tc>
        <w:tc>
          <w:tcPr>
            <w:tcW w:w="1044" w:type="dxa"/>
            <w:tcBorders>
              <w:top w:val="nil"/>
              <w:left w:val="nil"/>
              <w:bottom w:val="single" w:color="auto" w:sz="4" w:space="0"/>
              <w:right w:val="single" w:color="auto" w:sz="4" w:space="0"/>
            </w:tcBorders>
            <w:shd w:val="clear" w:color="auto" w:fill="auto"/>
            <w:vAlign w:val="center"/>
          </w:tcPr>
          <w:p w14:paraId="236F0C2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人·千米</w:t>
            </w:r>
          </w:p>
        </w:tc>
      </w:tr>
      <w:tr w14:paraId="2F553764">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0FC61D3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continue"/>
            <w:tcBorders>
              <w:top w:val="nil"/>
              <w:left w:val="single" w:color="auto" w:sz="4" w:space="0"/>
              <w:bottom w:val="single" w:color="auto" w:sz="4" w:space="0"/>
              <w:right w:val="single" w:color="auto" w:sz="4" w:space="0"/>
            </w:tcBorders>
            <w:vAlign w:val="center"/>
          </w:tcPr>
          <w:p w14:paraId="40296063">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2251" w:type="dxa"/>
            <w:gridSpan w:val="2"/>
            <w:tcBorders>
              <w:top w:val="single" w:color="auto" w:sz="4" w:space="0"/>
              <w:left w:val="nil"/>
              <w:bottom w:val="single" w:color="auto" w:sz="4" w:space="0"/>
              <w:right w:val="single" w:color="auto" w:sz="4" w:space="0"/>
            </w:tcBorders>
            <w:shd w:val="clear" w:color="auto" w:fill="auto"/>
            <w:vAlign w:val="center"/>
          </w:tcPr>
          <w:p w14:paraId="447BE0B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地铁</w:t>
            </w:r>
          </w:p>
        </w:tc>
        <w:tc>
          <w:tcPr>
            <w:tcW w:w="1321" w:type="dxa"/>
            <w:tcBorders>
              <w:top w:val="nil"/>
              <w:left w:val="nil"/>
              <w:bottom w:val="single" w:color="auto" w:sz="4" w:space="0"/>
              <w:right w:val="single" w:color="auto" w:sz="4" w:space="0"/>
            </w:tcBorders>
            <w:shd w:val="clear" w:color="auto" w:fill="auto"/>
            <w:vAlign w:val="center"/>
          </w:tcPr>
          <w:p w14:paraId="591DDCEF">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lang w:val="en-US"/>
                <w14:textFill>
                  <w14:solidFill>
                    <w14:schemeClr w14:val="tx1"/>
                  </w14:solidFill>
                </w14:textFill>
              </w:rPr>
            </w:pPr>
            <w:r>
              <w:rPr>
                <w:rFonts w:hint="default" w:ascii="Times New Roman" w:hAnsi="Times New Roman" w:eastAsia="方正仿宋_GB2312" w:cs="Times New Roman"/>
                <w:sz w:val="20"/>
                <w:szCs w:val="22"/>
              </w:rPr>
              <w:t>0.00</w:t>
            </w:r>
          </w:p>
        </w:tc>
        <w:tc>
          <w:tcPr>
            <w:tcW w:w="1044" w:type="dxa"/>
            <w:tcBorders>
              <w:top w:val="nil"/>
              <w:left w:val="nil"/>
              <w:bottom w:val="single" w:color="auto" w:sz="4" w:space="0"/>
              <w:right w:val="single" w:color="auto" w:sz="4" w:space="0"/>
            </w:tcBorders>
            <w:shd w:val="clear" w:color="auto" w:fill="auto"/>
            <w:vAlign w:val="center"/>
          </w:tcPr>
          <w:p w14:paraId="1B4CE9DA">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人·千米</w:t>
            </w:r>
          </w:p>
        </w:tc>
      </w:tr>
      <w:tr w14:paraId="1707AA53">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4AEF094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continue"/>
            <w:tcBorders>
              <w:top w:val="nil"/>
              <w:left w:val="single" w:color="auto" w:sz="4" w:space="0"/>
              <w:bottom w:val="single" w:color="auto" w:sz="4" w:space="0"/>
              <w:right w:val="single" w:color="auto" w:sz="4" w:space="0"/>
            </w:tcBorders>
            <w:vAlign w:val="center"/>
          </w:tcPr>
          <w:p w14:paraId="73513DC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2251" w:type="dxa"/>
            <w:gridSpan w:val="2"/>
            <w:tcBorders>
              <w:top w:val="single" w:color="auto" w:sz="4" w:space="0"/>
              <w:left w:val="nil"/>
              <w:bottom w:val="single" w:color="auto" w:sz="4" w:space="0"/>
              <w:right w:val="single" w:color="auto" w:sz="4" w:space="0"/>
            </w:tcBorders>
            <w:shd w:val="clear" w:color="auto" w:fill="auto"/>
            <w:vAlign w:val="center"/>
          </w:tcPr>
          <w:p w14:paraId="79A43275">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私家车（燃油）</w:t>
            </w:r>
          </w:p>
        </w:tc>
        <w:tc>
          <w:tcPr>
            <w:tcW w:w="1321" w:type="dxa"/>
            <w:tcBorders>
              <w:top w:val="nil"/>
              <w:left w:val="nil"/>
              <w:bottom w:val="single" w:color="auto" w:sz="4" w:space="0"/>
              <w:right w:val="single" w:color="auto" w:sz="4" w:space="0"/>
            </w:tcBorders>
            <w:shd w:val="clear" w:color="auto" w:fill="auto"/>
            <w:vAlign w:val="center"/>
          </w:tcPr>
          <w:p w14:paraId="355B687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2"/>
                <w:lang w:val="en-US"/>
                <w14:textFill>
                  <w14:solidFill>
                    <w14:schemeClr w14:val="tx1"/>
                  </w14:solidFill>
                </w14:textFill>
              </w:rPr>
            </w:pPr>
            <w:r>
              <w:rPr>
                <w:rFonts w:hint="default" w:ascii="Times New Roman" w:hAnsi="Times New Roman" w:eastAsia="方正仿宋_GB2312" w:cs="Times New Roman"/>
                <w:sz w:val="20"/>
                <w:szCs w:val="22"/>
              </w:rPr>
              <w:t>1546900.00</w:t>
            </w:r>
          </w:p>
        </w:tc>
        <w:tc>
          <w:tcPr>
            <w:tcW w:w="1044" w:type="dxa"/>
            <w:tcBorders>
              <w:top w:val="nil"/>
              <w:left w:val="nil"/>
              <w:bottom w:val="single" w:color="auto" w:sz="4" w:space="0"/>
              <w:right w:val="single" w:color="auto" w:sz="4" w:space="0"/>
            </w:tcBorders>
            <w:shd w:val="clear" w:color="auto" w:fill="auto"/>
            <w:vAlign w:val="center"/>
          </w:tcPr>
          <w:p w14:paraId="4A8C9399">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人·千米</w:t>
            </w:r>
          </w:p>
        </w:tc>
      </w:tr>
      <w:tr w14:paraId="2D3AC7E8">
        <w:tblPrEx>
          <w:tblCellMar>
            <w:top w:w="0" w:type="dxa"/>
            <w:left w:w="108" w:type="dxa"/>
            <w:bottom w:w="0" w:type="dxa"/>
            <w:right w:w="108" w:type="dxa"/>
          </w:tblCellMar>
        </w:tblPrEx>
        <w:trPr>
          <w:trHeight w:val="0" w:hRule="atLeast"/>
          <w:jc w:val="center"/>
        </w:trPr>
        <w:tc>
          <w:tcPr>
            <w:tcW w:w="2364" w:type="dxa"/>
            <w:vMerge w:val="continue"/>
            <w:tcBorders>
              <w:top w:val="nil"/>
              <w:left w:val="single" w:color="auto" w:sz="4" w:space="0"/>
              <w:bottom w:val="single" w:color="auto" w:sz="4" w:space="0"/>
              <w:right w:val="single" w:color="auto" w:sz="4" w:space="0"/>
            </w:tcBorders>
            <w:vAlign w:val="center"/>
          </w:tcPr>
          <w:p w14:paraId="69DB522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1750" w:type="dxa"/>
            <w:vMerge w:val="continue"/>
            <w:tcBorders>
              <w:top w:val="nil"/>
              <w:left w:val="single" w:color="auto" w:sz="4" w:space="0"/>
              <w:bottom w:val="single" w:color="auto" w:sz="4" w:space="0"/>
              <w:right w:val="single" w:color="auto" w:sz="4" w:space="0"/>
            </w:tcBorders>
            <w:vAlign w:val="center"/>
          </w:tcPr>
          <w:p w14:paraId="5DCED828">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p>
        </w:tc>
        <w:tc>
          <w:tcPr>
            <w:tcW w:w="2251" w:type="dxa"/>
            <w:gridSpan w:val="2"/>
            <w:tcBorders>
              <w:top w:val="single" w:color="auto" w:sz="4" w:space="0"/>
              <w:left w:val="nil"/>
              <w:bottom w:val="single" w:color="auto" w:sz="4" w:space="0"/>
              <w:right w:val="single" w:color="auto" w:sz="4" w:space="0"/>
            </w:tcBorders>
            <w:shd w:val="clear" w:color="auto" w:fill="auto"/>
            <w:vAlign w:val="center"/>
          </w:tcPr>
          <w:p w14:paraId="0E8C444B">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私家车（电动）</w:t>
            </w:r>
          </w:p>
        </w:tc>
        <w:tc>
          <w:tcPr>
            <w:tcW w:w="1321" w:type="dxa"/>
            <w:tcBorders>
              <w:top w:val="nil"/>
              <w:left w:val="nil"/>
              <w:bottom w:val="single" w:color="auto" w:sz="4" w:space="0"/>
              <w:right w:val="single" w:color="auto" w:sz="4" w:space="0"/>
            </w:tcBorders>
            <w:shd w:val="clear" w:color="auto" w:fill="auto"/>
            <w:vAlign w:val="center"/>
          </w:tcPr>
          <w:p w14:paraId="035C4D4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sz w:val="20"/>
                <w:szCs w:val="22"/>
              </w:rPr>
              <w:t>1082830.00</w:t>
            </w:r>
          </w:p>
        </w:tc>
        <w:tc>
          <w:tcPr>
            <w:tcW w:w="1044" w:type="dxa"/>
            <w:tcBorders>
              <w:top w:val="nil"/>
              <w:left w:val="nil"/>
              <w:bottom w:val="single" w:color="auto" w:sz="4" w:space="0"/>
              <w:right w:val="single" w:color="auto" w:sz="4" w:space="0"/>
            </w:tcBorders>
            <w:shd w:val="clear" w:color="auto" w:fill="auto"/>
            <w:vAlign w:val="center"/>
          </w:tcPr>
          <w:p w14:paraId="6C9088D8">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人·千米</w:t>
            </w:r>
          </w:p>
        </w:tc>
      </w:tr>
    </w:tbl>
    <w:p w14:paraId="37C12FCA">
      <w:pPr>
        <w:pStyle w:val="18"/>
        <w:tabs>
          <w:tab w:val="right" w:leader="dot" w:pos="8320"/>
        </w:tabs>
        <w:kinsoku/>
        <w:autoSpaceDE/>
        <w:autoSpaceDN/>
        <w:adjustRightInd w:val="0"/>
        <w:snapToGrid w:val="0"/>
        <w:spacing w:before="0" w:beforeLines="-2147483648" w:line="240" w:lineRule="auto"/>
        <w:ind w:right="-14"/>
        <w:textAlignment w:val="auto"/>
        <w:rPr>
          <w:rFonts w:hint="default" w:ascii="Times New Roman" w:hAnsi="Times New Roman" w:eastAsia="方正仿宋_GB2312" w:cs="Times New Roman"/>
          <w:b w:val="0"/>
          <w:bCs/>
          <w:snapToGrid/>
          <w:spacing w:val="0"/>
          <w:szCs w:val="22"/>
          <w:lang w:val="en-US" w:eastAsia="zh-CN"/>
        </w:rPr>
      </w:pPr>
      <w:bookmarkStart w:id="26" w:name="_Toc29037"/>
    </w:p>
    <w:p w14:paraId="351BE1E3">
      <w:pPr>
        <w:pStyle w:val="5"/>
        <w:bidi w:val="0"/>
        <w:rPr>
          <w:rFonts w:hint="default" w:ascii="Times New Roman" w:hAnsi="Times New Roman" w:eastAsia="方正仿宋_GB2312" w:cs="Times New Roman"/>
          <w:b w:val="0"/>
          <w:bCs/>
        </w:rPr>
      </w:pPr>
      <w:bookmarkStart w:id="27" w:name="_Toc16556"/>
      <w:r>
        <w:rPr>
          <w:rFonts w:hint="default" w:ascii="Times New Roman" w:hAnsi="Times New Roman" w:eastAsia="方正仿宋_GB2312" w:cs="Times New Roman"/>
          <w:b w:val="0"/>
          <w:bCs/>
        </w:rPr>
        <w:t>6.2自身经营的碳排放</w:t>
      </w:r>
      <w:bookmarkEnd w:id="26"/>
      <w:bookmarkEnd w:id="27"/>
    </w:p>
    <w:p w14:paraId="361BC3E2">
      <w:pPr>
        <w:pStyle w:val="6"/>
        <w:bidi w:val="0"/>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6.2.1范围一：经营活动的直接碳排放</w:t>
      </w:r>
    </w:p>
    <w:p w14:paraId="699E8913">
      <w:pPr>
        <w:widowControl/>
        <w:kinsoku w:val="0"/>
        <w:autoSpaceDE w:val="0"/>
        <w:autoSpaceDN w:val="0"/>
        <w:adjustRightInd w:val="0"/>
        <w:snapToGrid w:val="0"/>
        <w:spacing w:before="217" w:beforeLines="50" w:line="240" w:lineRule="auto"/>
        <w:ind w:firstLine="504"/>
        <w:textAlignment w:val="baseline"/>
        <w:rPr>
          <w:rFonts w:hint="default" w:ascii="Times New Roman" w:hAnsi="Times New Roman" w:eastAsia="方正仿宋_GB2312" w:cs="Times New Roman"/>
          <w:b w:val="0"/>
          <w:bCs/>
          <w:color w:val="000000" w:themeColor="text1"/>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报告年度内本行自身经营活动的直接碳排放总量为</w:t>
      </w:r>
      <w:r>
        <w:rPr>
          <w:rFonts w:hint="default" w:ascii="Times New Roman" w:hAnsi="Times New Roman" w:eastAsia="方正仿宋_GB2312" w:cs="Times New Roman"/>
          <w:color w:val="000000"/>
          <w:spacing w:val="6"/>
          <w:sz w:val="24"/>
          <w:u w:val="single" w:color="auto"/>
        </w:rPr>
        <w:t xml:space="preserve">158.71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e（吨二氧化碳当量，下同）。</w:t>
      </w:r>
    </w:p>
    <w:p w14:paraId="3C9C319E">
      <w:pPr>
        <w:pStyle w:val="6"/>
        <w:bidi w:val="0"/>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6.2.2范围二：经营活动的间接碳排放</w:t>
      </w:r>
    </w:p>
    <w:p w14:paraId="2D2E5CE9">
      <w:pPr>
        <w:widowControl/>
        <w:kinsoku w:val="0"/>
        <w:autoSpaceDE w:val="0"/>
        <w:autoSpaceDN w:val="0"/>
        <w:adjustRightInd w:val="0"/>
        <w:snapToGrid w:val="0"/>
        <w:spacing w:before="217" w:beforeLines="50" w:line="240" w:lineRule="auto"/>
        <w:ind w:firstLine="504"/>
        <w:textAlignment w:val="baseline"/>
        <w:rPr>
          <w:rFonts w:hint="default" w:ascii="Times New Roman" w:hAnsi="Times New Roman" w:eastAsia="方正仿宋_GB2312" w:cs="Times New Roman"/>
          <w:b w:val="0"/>
          <w:bCs/>
          <w:color w:val="000000" w:themeColor="text1"/>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报告年度内本行自身经营活动的间接碳排放总量为</w:t>
      </w:r>
      <w:r>
        <w:rPr>
          <w:rFonts w:hint="default" w:ascii="Times New Roman" w:hAnsi="Times New Roman" w:eastAsia="方正仿宋_GB2312" w:cs="Times New Roman"/>
          <w:color w:val="000000"/>
          <w:spacing w:val="6"/>
          <w:sz w:val="24"/>
          <w:u w:val="single" w:color="auto"/>
        </w:rPr>
        <w:t xml:space="preserve">2237.34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e，排放源主要来自于本行营业办公消耗的外部输入的电力、热、冷或蒸汽。</w:t>
      </w:r>
    </w:p>
    <w:p w14:paraId="1ECF37A0">
      <w:pPr>
        <w:pStyle w:val="6"/>
        <w:bidi w:val="0"/>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6.2.3范围三：经营活动的价值链碳排放</w:t>
      </w:r>
    </w:p>
    <w:p w14:paraId="5E503740">
      <w:pPr>
        <w:widowControl/>
        <w:kinsoku w:val="0"/>
        <w:autoSpaceDE w:val="0"/>
        <w:autoSpaceDN w:val="0"/>
        <w:adjustRightInd w:val="0"/>
        <w:snapToGrid w:val="0"/>
        <w:spacing w:before="217" w:beforeLines="50" w:line="240" w:lineRule="auto"/>
        <w:ind w:firstLine="504"/>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本行自身经营的价值链碳排放（范围三（不含投资））为</w:t>
      </w:r>
      <w:r>
        <w:rPr>
          <w:rFonts w:hint="default" w:ascii="Times New Roman" w:hAnsi="Times New Roman" w:eastAsia="方正仿宋_GB2312" w:cs="Times New Roman"/>
          <w:color w:val="000000"/>
          <w:spacing w:val="6"/>
          <w:sz w:val="24"/>
          <w:u w:val="single" w:color="auto"/>
        </w:rPr>
        <w:t xml:space="preserve">486.31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e。其中，购买商品与服务产生的碳排放</w:t>
      </w:r>
      <w:r>
        <w:rPr>
          <w:rFonts w:hint="default" w:ascii="Times New Roman" w:hAnsi="Times New Roman" w:eastAsia="方正仿宋_GB2312" w:cs="Times New Roman"/>
          <w:color w:val="000000"/>
          <w:spacing w:val="6"/>
          <w:sz w:val="24"/>
          <w:u w:val="single" w:color="auto"/>
        </w:rPr>
        <w:t xml:space="preserve">318.99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e，上游运输和配送产生的碳排放</w:t>
      </w:r>
      <w:r>
        <w:rPr>
          <w:rFonts w:hint="default" w:ascii="Times New Roman" w:hAnsi="Times New Roman" w:eastAsia="方正仿宋_GB2312" w:cs="Times New Roman"/>
          <w:color w:val="000000"/>
          <w:spacing w:val="6"/>
          <w:sz w:val="24"/>
          <w:u w:val="single" w:color="auto"/>
        </w:rPr>
        <w:t xml:space="preserve">0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e，运营中产生的废弃物产生的碳排放</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1.99</w:t>
      </w:r>
      <w:r>
        <w:rPr>
          <w:rFonts w:hint="default" w:ascii="Times New Roman" w:hAnsi="Times New Roman" w:eastAsia="方正仿宋_GB2312" w:cs="Times New Roman"/>
          <w:b w:val="0"/>
          <w:bCs/>
          <w:color w:val="000000" w:themeColor="text1"/>
          <w:spacing w:val="6"/>
          <w:sz w:val="24"/>
          <w:u w:val="single"/>
          <w14:textFill>
            <w14:solidFill>
              <w14:schemeClr w14:val="tx1"/>
            </w14:solidFill>
          </w14:textFill>
        </w:rPr>
        <w:t xml:space="preserve">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e，差旅产生的碳排放</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82.01</w:t>
      </w:r>
      <w:r>
        <w:rPr>
          <w:rFonts w:hint="default" w:ascii="Times New Roman" w:hAnsi="Times New Roman" w:eastAsia="方正仿宋_GB2312" w:cs="Times New Roman"/>
          <w:b w:val="0"/>
          <w:bCs/>
          <w:color w:val="000000" w:themeColor="text1"/>
          <w:spacing w:val="6"/>
          <w:sz w:val="24"/>
          <w:u w:val="single"/>
          <w14:textFill>
            <w14:solidFill>
              <w14:schemeClr w14:val="tx1"/>
            </w14:solidFill>
          </w14:textFill>
        </w:rPr>
        <w:t xml:space="preserve">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e，员工通勤产生的碳排放</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83.32</w:t>
      </w:r>
      <w:r>
        <w:rPr>
          <w:rFonts w:hint="default" w:ascii="Times New Roman" w:hAnsi="Times New Roman" w:eastAsia="方正仿宋_GB2312" w:cs="Times New Roman"/>
          <w:b w:val="0"/>
          <w:bCs/>
          <w:color w:val="000000" w:themeColor="text1"/>
          <w:spacing w:val="6"/>
          <w:sz w:val="24"/>
          <w:u w:val="single"/>
          <w14:textFill>
            <w14:solidFill>
              <w14:schemeClr w14:val="tx1"/>
            </w14:solidFill>
          </w14:textFill>
        </w:rPr>
        <w:t xml:space="preserve">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w:t>
      </w:r>
    </w:p>
    <w:p w14:paraId="6954C561">
      <w:pPr>
        <w:pStyle w:val="6"/>
        <w:bidi w:val="0"/>
        <w:rPr>
          <w:rFonts w:hint="default" w:ascii="Times New Roman" w:hAnsi="Times New Roman" w:eastAsia="方正仿宋_GB2312" w:cs="Times New Roman"/>
          <w:b w:val="0"/>
          <w:bCs/>
        </w:rPr>
      </w:pPr>
      <w:r>
        <w:rPr>
          <w:rFonts w:hint="default" w:ascii="Times New Roman" w:hAnsi="Times New Roman" w:eastAsia="方正仿宋_GB2312" w:cs="Times New Roman"/>
          <w:b w:val="0"/>
          <w:bCs/>
        </w:rPr>
        <w:t>6.2.4经营活动碳排放强度</w:t>
      </w:r>
    </w:p>
    <w:p w14:paraId="26D4B240">
      <w:pPr>
        <w:spacing w:line="240" w:lineRule="auto"/>
        <w:ind w:firstLine="504"/>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sectPr>
          <w:footerReference r:id="rId15" w:type="default"/>
          <w:pgSz w:w="11906" w:h="16838"/>
          <w:pgMar w:top="1440" w:right="1800" w:bottom="1440" w:left="1800" w:header="851" w:footer="992" w:gutter="0"/>
          <w:pgNumType w:fmt="decimal"/>
          <w:cols w:space="720" w:num="1"/>
          <w:docGrid w:type="lines" w:linePitch="435" w:charSpace="0"/>
        </w:sectPr>
      </w:pP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本行自身经营碳排放总量（不含范围三）为</w:t>
      </w:r>
      <w:r>
        <w:rPr>
          <w:rFonts w:hint="default" w:ascii="Times New Roman" w:hAnsi="Times New Roman" w:eastAsia="方正仿宋_GB2312" w:cs="Times New Roman"/>
          <w:b w:val="0"/>
          <w:bCs/>
          <w:color w:val="000000" w:themeColor="text1"/>
          <w:spacing w:val="6"/>
          <w:sz w:val="24"/>
          <w:u w:val="single"/>
          <w:lang w:val="en-US" w:eastAsia="zh-CN"/>
          <w14:textFill>
            <w14:solidFill>
              <w14:schemeClr w14:val="tx1"/>
            </w14:solidFill>
          </w14:textFill>
        </w:rPr>
        <w:t>2396.05</w:t>
      </w:r>
      <w:r>
        <w:rPr>
          <w:rFonts w:hint="default" w:ascii="Times New Roman" w:hAnsi="Times New Roman" w:eastAsia="方正仿宋_GB2312" w:cs="Times New Roman"/>
          <w:b w:val="0"/>
          <w:bCs/>
          <w:color w:val="000000" w:themeColor="text1"/>
          <w:spacing w:val="6"/>
          <w:sz w:val="24"/>
          <w:u w:val="single"/>
          <w14:textFill>
            <w14:solidFill>
              <w14:schemeClr w14:val="tx1"/>
            </w14:solidFill>
          </w14:textFill>
        </w:rPr>
        <w:t xml:space="preserve">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e，人均碳排放为</w:t>
      </w:r>
      <w:r>
        <w:rPr>
          <w:rFonts w:hint="default" w:ascii="Times New Roman" w:hAnsi="Times New Roman" w:eastAsia="方正仿宋_GB2312" w:cs="Times New Roman"/>
          <w:b w:val="0"/>
          <w:bCs/>
          <w:color w:val="000000" w:themeColor="text1"/>
          <w:spacing w:val="6"/>
          <w:sz w:val="24"/>
          <w:u w:val="single"/>
          <w:lang w:val="en-US" w:eastAsia="zh-CN"/>
          <w14:textFill>
            <w14:solidFill>
              <w14:schemeClr w14:val="tx1"/>
            </w14:solidFill>
          </w14:textFill>
        </w:rPr>
        <w:t>4.8017</w:t>
      </w:r>
      <w:r>
        <w:rPr>
          <w:rFonts w:hint="default" w:ascii="Times New Roman" w:hAnsi="Times New Roman" w:eastAsia="方正仿宋_GB2312" w:cs="Times New Roman"/>
          <w:b w:val="0"/>
          <w:bCs/>
          <w:color w:val="000000" w:themeColor="text1"/>
          <w:spacing w:val="6"/>
          <w:sz w:val="24"/>
          <w:u w:val="single"/>
          <w14:textFill>
            <w14:solidFill>
              <w14:schemeClr w14:val="tx1"/>
            </w14:solidFill>
          </w14:textFill>
        </w:rPr>
        <w:t xml:space="preserve">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e/人，单位面积碳排放为</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0.042036</w:t>
      </w:r>
      <w:r>
        <w:rPr>
          <w:rFonts w:hint="default" w:ascii="Times New Roman" w:hAnsi="Times New Roman" w:eastAsia="方正仿宋_GB2312" w:cs="Times New Roman"/>
          <w:b w:val="0"/>
          <w:bCs/>
          <w:color w:val="000000" w:themeColor="text1"/>
          <w:spacing w:val="6"/>
          <w:sz w:val="24"/>
          <w:u w:val="single"/>
          <w14:textFill>
            <w14:solidFill>
              <w14:schemeClr w14:val="tx1"/>
            </w14:solidFill>
          </w14:textFill>
        </w:rPr>
        <w:t xml:space="preserve">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e/平方米。</w:t>
      </w:r>
    </w:p>
    <w:p w14:paraId="5E283EFD">
      <w:pPr>
        <w:widowControl/>
        <w:spacing w:line="240" w:lineRule="auto"/>
        <w:ind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经营活动碳排放（范围一+范围二）</w:t>
      </w:r>
    </w:p>
    <w:tbl>
      <w:tblPr>
        <w:tblStyle w:val="22"/>
        <w:tblW w:w="15423" w:type="dxa"/>
        <w:jc w:val="center"/>
        <w:tblLayout w:type="fixed"/>
        <w:tblCellMar>
          <w:top w:w="0" w:type="dxa"/>
          <w:left w:w="108" w:type="dxa"/>
          <w:bottom w:w="0" w:type="dxa"/>
          <w:right w:w="108" w:type="dxa"/>
        </w:tblCellMar>
      </w:tblPr>
      <w:tblGrid>
        <w:gridCol w:w="4149"/>
        <w:gridCol w:w="1475"/>
        <w:gridCol w:w="1900"/>
        <w:gridCol w:w="1712"/>
        <w:gridCol w:w="1200"/>
        <w:gridCol w:w="1238"/>
        <w:gridCol w:w="1837"/>
        <w:gridCol w:w="1912"/>
      </w:tblGrid>
      <w:tr w14:paraId="6705CAF7">
        <w:tblPrEx>
          <w:tblCellMar>
            <w:top w:w="0" w:type="dxa"/>
            <w:left w:w="108" w:type="dxa"/>
            <w:bottom w:w="0" w:type="dxa"/>
            <w:right w:w="108" w:type="dxa"/>
          </w:tblCellMar>
        </w:tblPrEx>
        <w:trPr>
          <w:trHeight w:val="0" w:hRule="atLeast"/>
          <w:tblHeader/>
          <w:jc w:val="center"/>
        </w:trPr>
        <w:tc>
          <w:tcPr>
            <w:tcW w:w="4149" w:type="dxa"/>
            <w:vMerge w:val="restart"/>
            <w:tcBorders>
              <w:top w:val="single" w:color="000000" w:sz="4" w:space="0"/>
              <w:left w:val="single" w:color="000000" w:sz="4" w:space="0"/>
              <w:bottom w:val="single" w:color="000000" w:sz="4" w:space="0"/>
              <w:right w:val="single" w:color="000000" w:sz="4" w:space="0"/>
            </w:tcBorders>
            <w:noWrap w:val="0"/>
            <w:vAlign w:val="center"/>
          </w:tcPr>
          <w:p w14:paraId="45E6C02E">
            <w:pPr>
              <w:snapToGrid w:val="0"/>
              <w:spacing w:before="0" w:beforeLines="0"/>
              <w:ind w:left="0" w:leftChars="0" w:right="0" w:rightChars="0" w:firstLine="0" w:firstLineChars="0"/>
              <w:jc w:val="center"/>
              <w:rPr>
                <w:rFonts w:hint="default" w:ascii="Times New Roman" w:hAnsi="Times New Roman" w:eastAsia="方正仿宋_GB2312" w:cs="Times New Roman"/>
                <w:b/>
                <w:bCs/>
                <w:sz w:val="20"/>
                <w:szCs w:val="20"/>
              </w:rPr>
            </w:pPr>
            <w:r>
              <w:rPr>
                <w:rFonts w:hint="default" w:ascii="Times New Roman" w:hAnsi="Times New Roman" w:eastAsia="方正仿宋_GB2312" w:cs="Times New Roman"/>
                <w:b/>
                <w:bCs/>
                <w:sz w:val="20"/>
                <w:szCs w:val="20"/>
              </w:rPr>
              <w:t>核算要素</w:t>
            </w:r>
          </w:p>
        </w:tc>
        <w:tc>
          <w:tcPr>
            <w:tcW w:w="1475" w:type="dxa"/>
            <w:vMerge w:val="restart"/>
            <w:tcBorders>
              <w:top w:val="single" w:color="000000" w:sz="4" w:space="0"/>
              <w:left w:val="single" w:color="000000" w:sz="4" w:space="0"/>
              <w:bottom w:val="single" w:color="000000" w:sz="4" w:space="0"/>
              <w:right w:val="single" w:color="000000" w:sz="4" w:space="0"/>
            </w:tcBorders>
            <w:noWrap w:val="0"/>
            <w:vAlign w:val="center"/>
          </w:tcPr>
          <w:p w14:paraId="5397EF8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核算细项</w:t>
            </w:r>
          </w:p>
        </w:tc>
        <w:tc>
          <w:tcPr>
            <w:tcW w:w="19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8E1604C">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数量对应单位</w:t>
            </w:r>
          </w:p>
        </w:tc>
        <w:tc>
          <w:tcPr>
            <w:tcW w:w="7899" w:type="dxa"/>
            <w:gridSpan w:val="5"/>
            <w:tcBorders>
              <w:top w:val="single" w:color="000000" w:sz="4" w:space="0"/>
              <w:left w:val="single" w:color="000000" w:sz="4" w:space="0"/>
              <w:bottom w:val="single" w:color="000000" w:sz="4" w:space="0"/>
              <w:right w:val="single" w:color="000000" w:sz="4" w:space="0"/>
            </w:tcBorders>
            <w:noWrap/>
            <w:vAlign w:val="center"/>
          </w:tcPr>
          <w:p w14:paraId="0796168C">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kern w:val="0"/>
                <w:sz w:val="20"/>
                <w:szCs w:val="20"/>
                <w:lang w:val="en-US" w:eastAsia="zh-CN"/>
              </w:rPr>
              <w:t>202</w:t>
            </w:r>
            <w:r>
              <w:rPr>
                <w:rFonts w:hint="eastAsia" w:ascii="Times New Roman" w:hAnsi="Times New Roman" w:eastAsia="方正仿宋_GB2312" w:cs="Times New Roman"/>
                <w:b/>
                <w:bCs/>
                <w:color w:val="000000"/>
                <w:kern w:val="0"/>
                <w:sz w:val="20"/>
                <w:szCs w:val="20"/>
                <w:lang w:val="en-US" w:eastAsia="zh-CN"/>
              </w:rPr>
              <w:t>5</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年</w:t>
            </w:r>
          </w:p>
        </w:tc>
      </w:tr>
      <w:tr w14:paraId="388535B0">
        <w:tblPrEx>
          <w:tblCellMar>
            <w:top w:w="0" w:type="dxa"/>
            <w:left w:w="108" w:type="dxa"/>
            <w:bottom w:w="0" w:type="dxa"/>
            <w:right w:w="108" w:type="dxa"/>
          </w:tblCellMar>
        </w:tblPrEx>
        <w:trPr>
          <w:trHeight w:val="0" w:hRule="atLeast"/>
          <w:tblHeader/>
          <w:jc w:val="center"/>
        </w:trPr>
        <w:tc>
          <w:tcPr>
            <w:tcW w:w="41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16DFCB">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p>
        </w:tc>
        <w:tc>
          <w:tcPr>
            <w:tcW w:w="14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A3A67C">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p>
        </w:tc>
        <w:tc>
          <w:tcPr>
            <w:tcW w:w="19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D6FB2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p>
        </w:tc>
        <w:tc>
          <w:tcPr>
            <w:tcW w:w="1712" w:type="dxa"/>
            <w:tcBorders>
              <w:top w:val="single" w:color="000000" w:sz="4" w:space="0"/>
              <w:left w:val="single" w:color="000000" w:sz="4" w:space="0"/>
              <w:bottom w:val="single" w:color="000000" w:sz="4" w:space="0"/>
              <w:right w:val="single" w:color="000000" w:sz="4" w:space="0"/>
            </w:tcBorders>
            <w:noWrap w:val="0"/>
            <w:vAlign w:val="center"/>
          </w:tcPr>
          <w:p w14:paraId="3C673DFF">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数量</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6DE61DA">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人均数量</w:t>
            </w:r>
            <w:r>
              <w:rPr>
                <w:rFonts w:hint="default" w:ascii="Times New Roman" w:hAnsi="Times New Roman" w:eastAsia="方正仿宋_GB2312" w:cs="Times New Roman"/>
                <w:b/>
                <w:bCs/>
                <w:color w:val="000000" w:themeColor="text1"/>
                <w:kern w:val="0"/>
                <w:sz w:val="20"/>
                <w:szCs w:val="20"/>
                <w:vertAlign w:val="superscript"/>
                <w14:textFill>
                  <w14:solidFill>
                    <w14:schemeClr w14:val="tx1"/>
                  </w14:solidFill>
                </w14:textFill>
              </w:rPr>
              <w:t>*</w:t>
            </w:r>
          </w:p>
        </w:tc>
        <w:tc>
          <w:tcPr>
            <w:tcW w:w="1238" w:type="dxa"/>
            <w:tcBorders>
              <w:top w:val="single" w:color="000000" w:sz="4" w:space="0"/>
              <w:left w:val="single" w:color="000000" w:sz="4" w:space="0"/>
              <w:bottom w:val="single" w:color="000000" w:sz="4" w:space="0"/>
              <w:right w:val="single" w:color="000000" w:sz="4" w:space="0"/>
            </w:tcBorders>
            <w:noWrap w:val="0"/>
            <w:vAlign w:val="center"/>
          </w:tcPr>
          <w:p w14:paraId="295FF0D1">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碳排放</w:t>
            </w:r>
          </w:p>
          <w:p w14:paraId="268E97B3">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w:t>
            </w:r>
            <w:r>
              <w:rPr>
                <w:rFonts w:hint="default" w:ascii="Times New Roman" w:hAnsi="Times New Roman" w:eastAsia="方正仿宋_GB2312" w:cs="Times New Roman"/>
                <w:b/>
                <w:bCs/>
                <w:color w:val="000000" w:themeColor="text1"/>
                <w:kern w:val="0"/>
                <w:sz w:val="20"/>
                <w:szCs w:val="20"/>
                <w:lang w:val="en-US"/>
                <w14:textFill>
                  <w14:solidFill>
                    <w14:schemeClr w14:val="tx1"/>
                  </w14:solidFill>
                </w14:textFill>
              </w:rPr>
              <w:t>tCO2e</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w:t>
            </w:r>
          </w:p>
        </w:tc>
        <w:tc>
          <w:tcPr>
            <w:tcW w:w="1837" w:type="dxa"/>
            <w:tcBorders>
              <w:top w:val="single" w:color="000000" w:sz="4" w:space="0"/>
              <w:left w:val="single" w:color="000000" w:sz="4" w:space="0"/>
              <w:bottom w:val="single" w:color="000000" w:sz="4" w:space="0"/>
              <w:right w:val="single" w:color="000000" w:sz="4" w:space="0"/>
            </w:tcBorders>
            <w:noWrap w:val="0"/>
            <w:vAlign w:val="center"/>
          </w:tcPr>
          <w:p w14:paraId="0196869B">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人均碳排放</w:t>
            </w:r>
          </w:p>
          <w:p w14:paraId="303146D7">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w:t>
            </w:r>
            <w:r>
              <w:rPr>
                <w:rFonts w:hint="default" w:ascii="Times New Roman" w:hAnsi="Times New Roman" w:eastAsia="方正仿宋_GB2312" w:cs="Times New Roman"/>
                <w:b/>
                <w:bCs/>
                <w:color w:val="000000" w:themeColor="text1"/>
                <w:kern w:val="0"/>
                <w:sz w:val="20"/>
                <w:szCs w:val="20"/>
                <w:lang w:val="en-US"/>
                <w14:textFill>
                  <w14:solidFill>
                    <w14:schemeClr w14:val="tx1"/>
                  </w14:solidFill>
                </w14:textFill>
              </w:rPr>
              <w:t>tCO2e</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/人）</w:t>
            </w:r>
          </w:p>
        </w:tc>
        <w:tc>
          <w:tcPr>
            <w:tcW w:w="1912" w:type="dxa"/>
            <w:tcBorders>
              <w:top w:val="single" w:color="000000" w:sz="4" w:space="0"/>
              <w:left w:val="single" w:color="000000" w:sz="4" w:space="0"/>
              <w:bottom w:val="single" w:color="000000" w:sz="4" w:space="0"/>
              <w:right w:val="single" w:color="000000" w:sz="4" w:space="0"/>
            </w:tcBorders>
            <w:noWrap w:val="0"/>
            <w:vAlign w:val="center"/>
          </w:tcPr>
          <w:p w14:paraId="0201D49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单位面积碳排放</w:t>
            </w:r>
          </w:p>
          <w:p w14:paraId="6D8AC8F4">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w:t>
            </w:r>
            <w:r>
              <w:rPr>
                <w:rFonts w:hint="default" w:ascii="Times New Roman" w:hAnsi="Times New Roman" w:eastAsia="方正仿宋_GB2312" w:cs="Times New Roman"/>
                <w:b/>
                <w:bCs/>
                <w:color w:val="000000" w:themeColor="text1"/>
                <w:kern w:val="0"/>
                <w:sz w:val="20"/>
                <w:szCs w:val="20"/>
                <w:lang w:val="en-US"/>
                <w14:textFill>
                  <w14:solidFill>
                    <w14:schemeClr w14:val="tx1"/>
                  </w14:solidFill>
                </w14:textFill>
              </w:rPr>
              <w:t>tCO2e</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/平方米）</w:t>
            </w:r>
          </w:p>
        </w:tc>
      </w:tr>
      <w:tr w14:paraId="359AF72E">
        <w:tblPrEx>
          <w:tblCellMar>
            <w:top w:w="0" w:type="dxa"/>
            <w:left w:w="108" w:type="dxa"/>
            <w:bottom w:w="0" w:type="dxa"/>
            <w:right w:w="108" w:type="dxa"/>
          </w:tblCellMar>
        </w:tblPrEx>
        <w:trPr>
          <w:trHeight w:val="0" w:hRule="atLeast"/>
          <w:jc w:val="center"/>
        </w:trPr>
        <w:tc>
          <w:tcPr>
            <w:tcW w:w="5624" w:type="dxa"/>
            <w:gridSpan w:val="2"/>
            <w:tcBorders>
              <w:top w:val="single" w:color="000000" w:sz="4" w:space="0"/>
              <w:left w:val="single" w:color="000000" w:sz="4" w:space="0"/>
              <w:bottom w:val="single" w:color="000000" w:sz="4" w:space="0"/>
              <w:right w:val="single" w:color="000000" w:sz="4" w:space="0"/>
            </w:tcBorders>
            <w:noWrap/>
            <w:vAlign w:val="center"/>
          </w:tcPr>
          <w:p w14:paraId="79B1CEB4">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全年平均员工总人数</w:t>
            </w:r>
          </w:p>
        </w:tc>
        <w:tc>
          <w:tcPr>
            <w:tcW w:w="1900" w:type="dxa"/>
            <w:tcBorders>
              <w:top w:val="single" w:color="000000" w:sz="4" w:space="0"/>
              <w:left w:val="single" w:color="000000" w:sz="4" w:space="0"/>
              <w:bottom w:val="single" w:color="000000" w:sz="4" w:space="0"/>
              <w:right w:val="single" w:color="000000" w:sz="4" w:space="0"/>
            </w:tcBorders>
            <w:noWrap/>
            <w:vAlign w:val="center"/>
          </w:tcPr>
          <w:p w14:paraId="19543826">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人</w:t>
            </w:r>
          </w:p>
        </w:tc>
        <w:tc>
          <w:tcPr>
            <w:tcW w:w="1712" w:type="dxa"/>
            <w:tcBorders>
              <w:top w:val="single" w:color="000000" w:sz="4" w:space="0"/>
              <w:left w:val="single" w:color="000000" w:sz="4" w:space="0"/>
              <w:bottom w:val="single" w:color="000000" w:sz="4" w:space="0"/>
              <w:right w:val="single" w:color="000000" w:sz="4" w:space="0"/>
            </w:tcBorders>
            <w:noWrap/>
            <w:vAlign w:val="center"/>
          </w:tcPr>
          <w:p w14:paraId="48FD825F">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sz w:val="20"/>
                <w:szCs w:val="20"/>
              </w:rPr>
              <w:t>499</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87AF7E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238" w:type="dxa"/>
            <w:tcBorders>
              <w:top w:val="single" w:color="000000" w:sz="4" w:space="0"/>
              <w:left w:val="single" w:color="000000" w:sz="4" w:space="0"/>
              <w:bottom w:val="single" w:color="000000" w:sz="4" w:space="0"/>
              <w:right w:val="single" w:color="000000" w:sz="4" w:space="0"/>
            </w:tcBorders>
            <w:noWrap/>
            <w:vAlign w:val="center"/>
          </w:tcPr>
          <w:p w14:paraId="58C58B9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837" w:type="dxa"/>
            <w:tcBorders>
              <w:top w:val="single" w:color="000000" w:sz="4" w:space="0"/>
              <w:left w:val="single" w:color="000000" w:sz="4" w:space="0"/>
              <w:bottom w:val="single" w:color="000000" w:sz="4" w:space="0"/>
              <w:right w:val="single" w:color="000000" w:sz="4" w:space="0"/>
            </w:tcBorders>
            <w:noWrap/>
            <w:vAlign w:val="center"/>
          </w:tcPr>
          <w:p w14:paraId="02115915">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0"/>
                <w:szCs w:val="20"/>
                <w14:textFill>
                  <w14:solidFill>
                    <w14:schemeClr w14:val="tx1"/>
                  </w14:solidFill>
                </w14:textFill>
              </w:rPr>
              <w:t>4.8017</w:t>
            </w: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070F6C3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r>
      <w:tr w14:paraId="32EBD20E">
        <w:tblPrEx>
          <w:tblCellMar>
            <w:top w:w="0" w:type="dxa"/>
            <w:left w:w="108" w:type="dxa"/>
            <w:bottom w:w="0" w:type="dxa"/>
            <w:right w:w="108" w:type="dxa"/>
          </w:tblCellMar>
        </w:tblPrEx>
        <w:trPr>
          <w:trHeight w:val="0" w:hRule="atLeast"/>
          <w:jc w:val="center"/>
        </w:trPr>
        <w:tc>
          <w:tcPr>
            <w:tcW w:w="5624" w:type="dxa"/>
            <w:gridSpan w:val="2"/>
            <w:tcBorders>
              <w:top w:val="single" w:color="000000" w:sz="4" w:space="0"/>
              <w:left w:val="single" w:color="000000" w:sz="4" w:space="0"/>
              <w:bottom w:val="single" w:color="000000" w:sz="4" w:space="0"/>
              <w:right w:val="single" w:color="000000" w:sz="4" w:space="0"/>
            </w:tcBorders>
            <w:noWrap/>
            <w:vAlign w:val="center"/>
          </w:tcPr>
          <w:p w14:paraId="33A8A237">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全年平均办公面积*</w:t>
            </w:r>
          </w:p>
        </w:tc>
        <w:tc>
          <w:tcPr>
            <w:tcW w:w="1900" w:type="dxa"/>
            <w:tcBorders>
              <w:top w:val="single" w:color="000000" w:sz="4" w:space="0"/>
              <w:left w:val="single" w:color="000000" w:sz="4" w:space="0"/>
              <w:bottom w:val="single" w:color="000000" w:sz="4" w:space="0"/>
              <w:right w:val="single" w:color="000000" w:sz="4" w:space="0"/>
            </w:tcBorders>
            <w:noWrap/>
            <w:vAlign w:val="center"/>
          </w:tcPr>
          <w:p w14:paraId="77665826">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平方米</w:t>
            </w:r>
          </w:p>
        </w:tc>
        <w:tc>
          <w:tcPr>
            <w:tcW w:w="1712" w:type="dxa"/>
            <w:tcBorders>
              <w:top w:val="single" w:color="000000" w:sz="4" w:space="0"/>
              <w:left w:val="single" w:color="000000" w:sz="4" w:space="0"/>
              <w:bottom w:val="single" w:color="000000" w:sz="4" w:space="0"/>
              <w:right w:val="single" w:color="000000" w:sz="4" w:space="0"/>
            </w:tcBorders>
            <w:noWrap/>
            <w:vAlign w:val="center"/>
          </w:tcPr>
          <w:p w14:paraId="7572AA9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57000</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339107F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238" w:type="dxa"/>
            <w:tcBorders>
              <w:top w:val="single" w:color="000000" w:sz="4" w:space="0"/>
              <w:left w:val="single" w:color="000000" w:sz="4" w:space="0"/>
              <w:bottom w:val="single" w:color="000000" w:sz="4" w:space="0"/>
              <w:right w:val="single" w:color="000000" w:sz="4" w:space="0"/>
            </w:tcBorders>
            <w:noWrap/>
            <w:vAlign w:val="center"/>
          </w:tcPr>
          <w:p w14:paraId="0E518D8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837" w:type="dxa"/>
            <w:tcBorders>
              <w:top w:val="single" w:color="000000" w:sz="4" w:space="0"/>
              <w:left w:val="single" w:color="000000" w:sz="4" w:space="0"/>
              <w:bottom w:val="single" w:color="000000" w:sz="4" w:space="0"/>
              <w:right w:val="single" w:color="000000" w:sz="4" w:space="0"/>
            </w:tcBorders>
            <w:noWrap/>
            <w:vAlign w:val="center"/>
          </w:tcPr>
          <w:p w14:paraId="7EDB834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33668980">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0"/>
                <w:szCs w:val="20"/>
                <w14:textFill>
                  <w14:solidFill>
                    <w14:schemeClr w14:val="tx1"/>
                  </w14:solidFill>
                </w14:textFill>
              </w:rPr>
              <w:t>0.042036</w:t>
            </w:r>
          </w:p>
        </w:tc>
      </w:tr>
      <w:tr w14:paraId="24C395AE">
        <w:tblPrEx>
          <w:tblCellMar>
            <w:top w:w="0" w:type="dxa"/>
            <w:left w:w="108" w:type="dxa"/>
            <w:bottom w:w="0" w:type="dxa"/>
            <w:right w:w="108" w:type="dxa"/>
          </w:tblCellMar>
        </w:tblPrEx>
        <w:trPr>
          <w:trHeight w:val="0" w:hRule="atLeast"/>
          <w:jc w:val="center"/>
        </w:trPr>
        <w:tc>
          <w:tcPr>
            <w:tcW w:w="5624" w:type="dxa"/>
            <w:gridSpan w:val="2"/>
            <w:tcBorders>
              <w:top w:val="single" w:color="000000" w:sz="4" w:space="0"/>
              <w:left w:val="single" w:color="000000" w:sz="4" w:space="0"/>
              <w:bottom w:val="single" w:color="000000" w:sz="4" w:space="0"/>
              <w:right w:val="single" w:color="000000" w:sz="4" w:space="0"/>
            </w:tcBorders>
            <w:noWrap/>
            <w:vAlign w:val="center"/>
          </w:tcPr>
          <w:p w14:paraId="0EA5640A">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能源直接及间接温室气体排放总量（范围一+范围二）</w:t>
            </w:r>
          </w:p>
        </w:tc>
        <w:tc>
          <w:tcPr>
            <w:tcW w:w="1900" w:type="dxa"/>
            <w:tcBorders>
              <w:top w:val="single" w:color="000000" w:sz="4" w:space="0"/>
              <w:left w:val="single" w:color="000000" w:sz="4" w:space="0"/>
              <w:bottom w:val="single" w:color="000000" w:sz="4" w:space="0"/>
              <w:right w:val="single" w:color="000000" w:sz="4" w:space="0"/>
            </w:tcBorders>
            <w:noWrap/>
            <w:vAlign w:val="center"/>
          </w:tcPr>
          <w:p w14:paraId="6A861C5F">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tCO2e</w:t>
            </w:r>
          </w:p>
        </w:tc>
        <w:tc>
          <w:tcPr>
            <w:tcW w:w="1712" w:type="dxa"/>
            <w:tcBorders>
              <w:top w:val="single" w:color="000000" w:sz="4" w:space="0"/>
              <w:left w:val="single" w:color="000000" w:sz="4" w:space="0"/>
              <w:bottom w:val="single" w:color="000000" w:sz="4" w:space="0"/>
              <w:right w:val="single" w:color="000000" w:sz="4" w:space="0"/>
            </w:tcBorders>
            <w:noWrap/>
            <w:vAlign w:val="center"/>
          </w:tcPr>
          <w:p w14:paraId="618E048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2396.05</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4A58A7F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238" w:type="dxa"/>
            <w:tcBorders>
              <w:top w:val="single" w:color="000000" w:sz="4" w:space="0"/>
              <w:left w:val="single" w:color="000000" w:sz="4" w:space="0"/>
              <w:bottom w:val="single" w:color="000000" w:sz="4" w:space="0"/>
              <w:right w:val="single" w:color="000000" w:sz="4" w:space="0"/>
            </w:tcBorders>
            <w:noWrap/>
            <w:vAlign w:val="center"/>
          </w:tcPr>
          <w:p w14:paraId="5A1E556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837" w:type="dxa"/>
            <w:tcBorders>
              <w:top w:val="single" w:color="000000" w:sz="4" w:space="0"/>
              <w:left w:val="single" w:color="000000" w:sz="4" w:space="0"/>
              <w:bottom w:val="single" w:color="000000" w:sz="4" w:space="0"/>
              <w:right w:val="single" w:color="000000" w:sz="4" w:space="0"/>
            </w:tcBorders>
            <w:noWrap/>
            <w:vAlign w:val="center"/>
          </w:tcPr>
          <w:p w14:paraId="2C4ADA1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38D71CE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r>
      <w:tr w14:paraId="0BB64622">
        <w:tblPrEx>
          <w:tblCellMar>
            <w:top w:w="0" w:type="dxa"/>
            <w:left w:w="108" w:type="dxa"/>
            <w:bottom w:w="0" w:type="dxa"/>
            <w:right w:w="108" w:type="dxa"/>
          </w:tblCellMar>
        </w:tblPrEx>
        <w:trPr>
          <w:trHeight w:val="0" w:hRule="atLeast"/>
          <w:jc w:val="center"/>
        </w:trPr>
        <w:tc>
          <w:tcPr>
            <w:tcW w:w="5624" w:type="dxa"/>
            <w:gridSpan w:val="2"/>
            <w:tcBorders>
              <w:top w:val="single" w:color="000000" w:sz="4" w:space="0"/>
              <w:left w:val="single" w:color="000000" w:sz="4" w:space="0"/>
              <w:bottom w:val="single" w:color="000000" w:sz="4" w:space="0"/>
              <w:right w:val="single" w:color="000000" w:sz="4" w:space="0"/>
            </w:tcBorders>
            <w:noWrap/>
            <w:vAlign w:val="center"/>
          </w:tcPr>
          <w:p w14:paraId="7DAA9BBC">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直接温室气体排放量（范围一）</w:t>
            </w:r>
          </w:p>
        </w:tc>
        <w:tc>
          <w:tcPr>
            <w:tcW w:w="1900" w:type="dxa"/>
            <w:tcBorders>
              <w:top w:val="single" w:color="000000" w:sz="4" w:space="0"/>
              <w:left w:val="single" w:color="000000" w:sz="4" w:space="0"/>
              <w:bottom w:val="single" w:color="000000" w:sz="4" w:space="0"/>
              <w:right w:val="single" w:color="000000" w:sz="4" w:space="0"/>
            </w:tcBorders>
            <w:noWrap/>
            <w:vAlign w:val="center"/>
          </w:tcPr>
          <w:p w14:paraId="547DE874">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tCO2e</w:t>
            </w:r>
          </w:p>
        </w:tc>
        <w:tc>
          <w:tcPr>
            <w:tcW w:w="1712" w:type="dxa"/>
            <w:tcBorders>
              <w:top w:val="single" w:color="000000" w:sz="4" w:space="0"/>
              <w:left w:val="single" w:color="000000" w:sz="4" w:space="0"/>
              <w:bottom w:val="single" w:color="000000" w:sz="4" w:space="0"/>
              <w:right w:val="single" w:color="000000" w:sz="4" w:space="0"/>
            </w:tcBorders>
            <w:noWrap/>
            <w:vAlign w:val="center"/>
          </w:tcPr>
          <w:p w14:paraId="1AB5914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158.71</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5552D2F">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238" w:type="dxa"/>
            <w:tcBorders>
              <w:top w:val="single" w:color="000000" w:sz="4" w:space="0"/>
              <w:left w:val="single" w:color="000000" w:sz="4" w:space="0"/>
              <w:bottom w:val="single" w:color="000000" w:sz="4" w:space="0"/>
              <w:right w:val="single" w:color="000000" w:sz="4" w:space="0"/>
            </w:tcBorders>
            <w:noWrap/>
            <w:vAlign w:val="center"/>
          </w:tcPr>
          <w:p w14:paraId="2F4FDEA2">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837" w:type="dxa"/>
            <w:tcBorders>
              <w:top w:val="single" w:color="000000" w:sz="4" w:space="0"/>
              <w:left w:val="single" w:color="000000" w:sz="4" w:space="0"/>
              <w:bottom w:val="single" w:color="000000" w:sz="4" w:space="0"/>
              <w:right w:val="single" w:color="000000" w:sz="4" w:space="0"/>
            </w:tcBorders>
            <w:noWrap/>
            <w:vAlign w:val="center"/>
          </w:tcPr>
          <w:p w14:paraId="2037DB65">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47ABF3B5">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r>
      <w:tr w14:paraId="5FC4B096">
        <w:tblPrEx>
          <w:tblCellMar>
            <w:top w:w="0" w:type="dxa"/>
            <w:left w:w="108" w:type="dxa"/>
            <w:bottom w:w="0" w:type="dxa"/>
            <w:right w:w="108" w:type="dxa"/>
          </w:tblCellMar>
        </w:tblPrEx>
        <w:trPr>
          <w:trHeight w:val="0" w:hRule="atLeast"/>
          <w:jc w:val="center"/>
        </w:trPr>
        <w:tc>
          <w:tcPr>
            <w:tcW w:w="4149" w:type="dxa"/>
            <w:vMerge w:val="restart"/>
            <w:tcBorders>
              <w:top w:val="single" w:color="000000" w:sz="4" w:space="0"/>
              <w:left w:val="single" w:color="000000" w:sz="4" w:space="0"/>
              <w:bottom w:val="single" w:color="000000" w:sz="4" w:space="0"/>
              <w:right w:val="single" w:color="000000" w:sz="4" w:space="0"/>
            </w:tcBorders>
            <w:noWrap/>
            <w:vAlign w:val="center"/>
          </w:tcPr>
          <w:p w14:paraId="0F5B5B5D">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营业办公（含固定源、移动源）和采暖（制冷）设备消耗的化石能源</w:t>
            </w:r>
          </w:p>
        </w:tc>
        <w:tc>
          <w:tcPr>
            <w:tcW w:w="1475" w:type="dxa"/>
            <w:tcBorders>
              <w:top w:val="single" w:color="000000" w:sz="4" w:space="0"/>
              <w:left w:val="single" w:color="000000" w:sz="4" w:space="0"/>
              <w:bottom w:val="single" w:color="000000" w:sz="4" w:space="0"/>
              <w:right w:val="single" w:color="000000" w:sz="4" w:space="0"/>
            </w:tcBorders>
            <w:noWrap/>
            <w:vAlign w:val="center"/>
          </w:tcPr>
          <w:p w14:paraId="2C10B6C3">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无烟煤</w:t>
            </w:r>
          </w:p>
        </w:tc>
        <w:tc>
          <w:tcPr>
            <w:tcW w:w="1900" w:type="dxa"/>
            <w:tcBorders>
              <w:top w:val="single" w:color="000000" w:sz="4" w:space="0"/>
              <w:left w:val="single" w:color="000000" w:sz="4" w:space="0"/>
              <w:bottom w:val="single" w:color="000000" w:sz="4" w:space="0"/>
              <w:right w:val="single" w:color="000000" w:sz="4" w:space="0"/>
            </w:tcBorders>
            <w:noWrap/>
            <w:vAlign w:val="center"/>
          </w:tcPr>
          <w:p w14:paraId="490E595E">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w:t>
            </w:r>
          </w:p>
        </w:tc>
        <w:tc>
          <w:tcPr>
            <w:tcW w:w="1712" w:type="dxa"/>
            <w:tcBorders>
              <w:top w:val="single" w:color="000000" w:sz="4" w:space="0"/>
              <w:left w:val="single" w:color="000000" w:sz="4" w:space="0"/>
              <w:bottom w:val="single" w:color="000000" w:sz="4" w:space="0"/>
              <w:right w:val="single" w:color="000000" w:sz="4" w:space="0"/>
            </w:tcBorders>
            <w:noWrap/>
            <w:vAlign w:val="center"/>
          </w:tcPr>
          <w:p w14:paraId="652C3E4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0.00</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33FC5F6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0</w:t>
            </w:r>
          </w:p>
        </w:tc>
        <w:tc>
          <w:tcPr>
            <w:tcW w:w="1238" w:type="dxa"/>
            <w:tcBorders>
              <w:top w:val="single" w:color="000000" w:sz="4" w:space="0"/>
              <w:left w:val="single" w:color="000000" w:sz="4" w:space="0"/>
              <w:bottom w:val="single" w:color="000000" w:sz="4" w:space="0"/>
              <w:right w:val="single" w:color="000000" w:sz="4" w:space="0"/>
            </w:tcBorders>
            <w:noWrap/>
            <w:vAlign w:val="center"/>
          </w:tcPr>
          <w:p w14:paraId="4162C6EA">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0</w:t>
            </w:r>
          </w:p>
        </w:tc>
        <w:tc>
          <w:tcPr>
            <w:tcW w:w="1837" w:type="dxa"/>
            <w:tcBorders>
              <w:top w:val="single" w:color="000000" w:sz="4" w:space="0"/>
              <w:left w:val="single" w:color="000000" w:sz="4" w:space="0"/>
              <w:bottom w:val="single" w:color="000000" w:sz="4" w:space="0"/>
              <w:right w:val="single" w:color="000000" w:sz="4" w:space="0"/>
            </w:tcBorders>
            <w:noWrap/>
            <w:vAlign w:val="center"/>
          </w:tcPr>
          <w:p w14:paraId="6467ACAA">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6114F79D">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r>
      <w:tr w14:paraId="772D6AEF">
        <w:tblPrEx>
          <w:tblCellMar>
            <w:top w:w="0" w:type="dxa"/>
            <w:left w:w="108" w:type="dxa"/>
            <w:bottom w:w="0" w:type="dxa"/>
            <w:right w:w="108" w:type="dxa"/>
          </w:tblCellMar>
        </w:tblPrEx>
        <w:trPr>
          <w:trHeight w:val="0" w:hRule="atLeast"/>
          <w:jc w:val="center"/>
        </w:trPr>
        <w:tc>
          <w:tcPr>
            <w:tcW w:w="4149" w:type="dxa"/>
            <w:vMerge w:val="continue"/>
            <w:tcBorders>
              <w:top w:val="single" w:color="000000" w:sz="4" w:space="0"/>
              <w:left w:val="single" w:color="000000" w:sz="4" w:space="0"/>
              <w:bottom w:val="single" w:color="000000" w:sz="4" w:space="0"/>
              <w:right w:val="single" w:color="000000" w:sz="4" w:space="0"/>
            </w:tcBorders>
            <w:noWrap/>
            <w:vAlign w:val="center"/>
          </w:tcPr>
          <w:p w14:paraId="7ED97D3D">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营业办公（含固定源、移动源）和采暖（制冷）设备消耗的化石能源</w:t>
            </w:r>
          </w:p>
        </w:tc>
        <w:tc>
          <w:tcPr>
            <w:tcW w:w="1475" w:type="dxa"/>
            <w:tcBorders>
              <w:top w:val="single" w:color="000000" w:sz="4" w:space="0"/>
              <w:left w:val="single" w:color="000000" w:sz="4" w:space="0"/>
              <w:bottom w:val="single" w:color="000000" w:sz="4" w:space="0"/>
              <w:right w:val="single" w:color="000000" w:sz="4" w:space="0"/>
            </w:tcBorders>
            <w:noWrap/>
            <w:vAlign w:val="center"/>
          </w:tcPr>
          <w:p w14:paraId="1CC2639E">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柴油</w:t>
            </w:r>
          </w:p>
        </w:tc>
        <w:tc>
          <w:tcPr>
            <w:tcW w:w="1900" w:type="dxa"/>
            <w:tcBorders>
              <w:top w:val="single" w:color="000000" w:sz="4" w:space="0"/>
              <w:left w:val="single" w:color="000000" w:sz="4" w:space="0"/>
              <w:bottom w:val="single" w:color="000000" w:sz="4" w:space="0"/>
              <w:right w:val="single" w:color="000000" w:sz="4" w:space="0"/>
            </w:tcBorders>
            <w:noWrap/>
            <w:vAlign w:val="center"/>
          </w:tcPr>
          <w:p w14:paraId="329E2ACC">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w:t>
            </w:r>
          </w:p>
        </w:tc>
        <w:tc>
          <w:tcPr>
            <w:tcW w:w="1712" w:type="dxa"/>
            <w:tcBorders>
              <w:top w:val="single" w:color="000000" w:sz="4" w:space="0"/>
              <w:left w:val="single" w:color="000000" w:sz="4" w:space="0"/>
              <w:bottom w:val="single" w:color="000000" w:sz="4" w:space="0"/>
              <w:right w:val="single" w:color="000000" w:sz="4" w:space="0"/>
            </w:tcBorders>
            <w:noWrap/>
            <w:vAlign w:val="center"/>
          </w:tcPr>
          <w:p w14:paraId="5548FF84">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0.04</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785A63F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0</w:t>
            </w:r>
          </w:p>
        </w:tc>
        <w:tc>
          <w:tcPr>
            <w:tcW w:w="1238" w:type="dxa"/>
            <w:tcBorders>
              <w:top w:val="single" w:color="000000" w:sz="4" w:space="0"/>
              <w:left w:val="single" w:color="000000" w:sz="4" w:space="0"/>
              <w:bottom w:val="single" w:color="000000" w:sz="4" w:space="0"/>
              <w:right w:val="single" w:color="000000" w:sz="4" w:space="0"/>
            </w:tcBorders>
            <w:noWrap/>
            <w:vAlign w:val="center"/>
          </w:tcPr>
          <w:p w14:paraId="4289C98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0</w:t>
            </w:r>
          </w:p>
        </w:tc>
        <w:tc>
          <w:tcPr>
            <w:tcW w:w="1837" w:type="dxa"/>
            <w:tcBorders>
              <w:top w:val="single" w:color="000000" w:sz="4" w:space="0"/>
              <w:left w:val="single" w:color="000000" w:sz="4" w:space="0"/>
              <w:bottom w:val="single" w:color="000000" w:sz="4" w:space="0"/>
              <w:right w:val="single" w:color="000000" w:sz="4" w:space="0"/>
            </w:tcBorders>
            <w:noWrap/>
            <w:vAlign w:val="center"/>
          </w:tcPr>
          <w:p w14:paraId="46273A9F">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536BD685">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r>
      <w:tr w14:paraId="6B5F0EA5">
        <w:tblPrEx>
          <w:tblCellMar>
            <w:top w:w="0" w:type="dxa"/>
            <w:left w:w="108" w:type="dxa"/>
            <w:bottom w:w="0" w:type="dxa"/>
            <w:right w:w="108" w:type="dxa"/>
          </w:tblCellMar>
        </w:tblPrEx>
        <w:trPr>
          <w:trHeight w:val="0" w:hRule="atLeast"/>
          <w:jc w:val="center"/>
        </w:trPr>
        <w:tc>
          <w:tcPr>
            <w:tcW w:w="4149" w:type="dxa"/>
            <w:vMerge w:val="continue"/>
            <w:tcBorders>
              <w:top w:val="single" w:color="000000" w:sz="4" w:space="0"/>
              <w:left w:val="single" w:color="000000" w:sz="4" w:space="0"/>
              <w:bottom w:val="single" w:color="000000" w:sz="4" w:space="0"/>
              <w:right w:val="single" w:color="000000" w:sz="4" w:space="0"/>
            </w:tcBorders>
            <w:noWrap/>
            <w:vAlign w:val="center"/>
          </w:tcPr>
          <w:p w14:paraId="4A3CC7D6">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营业办公（含固定源、移动源）和采暖（制冷）设备消耗的化石能源</w:t>
            </w:r>
          </w:p>
        </w:tc>
        <w:tc>
          <w:tcPr>
            <w:tcW w:w="1475" w:type="dxa"/>
            <w:tcBorders>
              <w:top w:val="single" w:color="000000" w:sz="4" w:space="0"/>
              <w:left w:val="single" w:color="000000" w:sz="4" w:space="0"/>
              <w:bottom w:val="single" w:color="000000" w:sz="4" w:space="0"/>
              <w:right w:val="single" w:color="000000" w:sz="4" w:space="0"/>
            </w:tcBorders>
            <w:noWrap/>
            <w:vAlign w:val="center"/>
          </w:tcPr>
          <w:p w14:paraId="6C6B8332">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汽油</w:t>
            </w:r>
          </w:p>
        </w:tc>
        <w:tc>
          <w:tcPr>
            <w:tcW w:w="1900" w:type="dxa"/>
            <w:tcBorders>
              <w:top w:val="single" w:color="000000" w:sz="4" w:space="0"/>
              <w:left w:val="single" w:color="000000" w:sz="4" w:space="0"/>
              <w:bottom w:val="single" w:color="000000" w:sz="4" w:space="0"/>
              <w:right w:val="single" w:color="000000" w:sz="4" w:space="0"/>
            </w:tcBorders>
            <w:noWrap/>
            <w:vAlign w:val="center"/>
          </w:tcPr>
          <w:p w14:paraId="3558EE7A">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w:t>
            </w:r>
          </w:p>
        </w:tc>
        <w:tc>
          <w:tcPr>
            <w:tcW w:w="1712" w:type="dxa"/>
            <w:tcBorders>
              <w:top w:val="single" w:color="000000" w:sz="4" w:space="0"/>
              <w:left w:val="single" w:color="000000" w:sz="4" w:space="0"/>
              <w:bottom w:val="single" w:color="000000" w:sz="4" w:space="0"/>
              <w:right w:val="single" w:color="000000" w:sz="4" w:space="0"/>
            </w:tcBorders>
            <w:noWrap/>
            <w:vAlign w:val="center"/>
          </w:tcPr>
          <w:p w14:paraId="580B273A">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49.22</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525F309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0.0986</w:t>
            </w:r>
          </w:p>
        </w:tc>
        <w:tc>
          <w:tcPr>
            <w:tcW w:w="1238" w:type="dxa"/>
            <w:tcBorders>
              <w:top w:val="single" w:color="000000" w:sz="4" w:space="0"/>
              <w:left w:val="single" w:color="000000" w:sz="4" w:space="0"/>
              <w:bottom w:val="single" w:color="000000" w:sz="4" w:space="0"/>
              <w:right w:val="single" w:color="000000" w:sz="4" w:space="0"/>
            </w:tcBorders>
            <w:noWrap/>
            <w:vAlign w:val="center"/>
          </w:tcPr>
          <w:p w14:paraId="45A16AE7">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151.67</w:t>
            </w:r>
          </w:p>
        </w:tc>
        <w:tc>
          <w:tcPr>
            <w:tcW w:w="1837" w:type="dxa"/>
            <w:tcBorders>
              <w:top w:val="single" w:color="000000" w:sz="4" w:space="0"/>
              <w:left w:val="single" w:color="000000" w:sz="4" w:space="0"/>
              <w:bottom w:val="single" w:color="000000" w:sz="4" w:space="0"/>
              <w:right w:val="single" w:color="000000" w:sz="4" w:space="0"/>
            </w:tcBorders>
            <w:noWrap/>
            <w:vAlign w:val="center"/>
          </w:tcPr>
          <w:p w14:paraId="669A130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400420A0">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r>
      <w:tr w14:paraId="23112039">
        <w:tblPrEx>
          <w:tblCellMar>
            <w:top w:w="0" w:type="dxa"/>
            <w:left w:w="108" w:type="dxa"/>
            <w:bottom w:w="0" w:type="dxa"/>
            <w:right w:w="108" w:type="dxa"/>
          </w:tblCellMar>
        </w:tblPrEx>
        <w:trPr>
          <w:trHeight w:val="0" w:hRule="atLeast"/>
          <w:jc w:val="center"/>
        </w:trPr>
        <w:tc>
          <w:tcPr>
            <w:tcW w:w="4149" w:type="dxa"/>
            <w:vMerge w:val="continue"/>
            <w:tcBorders>
              <w:top w:val="single" w:color="000000" w:sz="4" w:space="0"/>
              <w:left w:val="single" w:color="000000" w:sz="4" w:space="0"/>
              <w:bottom w:val="single" w:color="000000" w:sz="4" w:space="0"/>
              <w:right w:val="single" w:color="000000" w:sz="4" w:space="0"/>
            </w:tcBorders>
            <w:noWrap/>
            <w:vAlign w:val="center"/>
          </w:tcPr>
          <w:p w14:paraId="185436C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营业办公（含固定源、移动源）和采暖（制冷）设备消耗的化石能源</w:t>
            </w:r>
          </w:p>
        </w:tc>
        <w:tc>
          <w:tcPr>
            <w:tcW w:w="1475" w:type="dxa"/>
            <w:tcBorders>
              <w:top w:val="single" w:color="000000" w:sz="4" w:space="0"/>
              <w:left w:val="single" w:color="000000" w:sz="4" w:space="0"/>
              <w:bottom w:val="single" w:color="000000" w:sz="4" w:space="0"/>
              <w:right w:val="single" w:color="000000" w:sz="4" w:space="0"/>
            </w:tcBorders>
            <w:noWrap/>
            <w:vAlign w:val="center"/>
          </w:tcPr>
          <w:p w14:paraId="775EA296">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天然气</w:t>
            </w:r>
          </w:p>
        </w:tc>
        <w:tc>
          <w:tcPr>
            <w:tcW w:w="1900" w:type="dxa"/>
            <w:tcBorders>
              <w:top w:val="single" w:color="000000" w:sz="4" w:space="0"/>
              <w:left w:val="single" w:color="000000" w:sz="4" w:space="0"/>
              <w:bottom w:val="single" w:color="000000" w:sz="4" w:space="0"/>
              <w:right w:val="single" w:color="000000" w:sz="4" w:space="0"/>
            </w:tcBorders>
            <w:noWrap/>
            <w:vAlign w:val="center"/>
          </w:tcPr>
          <w:p w14:paraId="53C9A96A">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万Nm3</w:t>
            </w:r>
          </w:p>
        </w:tc>
        <w:tc>
          <w:tcPr>
            <w:tcW w:w="1712" w:type="dxa"/>
            <w:tcBorders>
              <w:top w:val="single" w:color="000000" w:sz="4" w:space="0"/>
              <w:left w:val="single" w:color="000000" w:sz="4" w:space="0"/>
              <w:bottom w:val="single" w:color="000000" w:sz="4" w:space="0"/>
              <w:right w:val="single" w:color="000000" w:sz="4" w:space="0"/>
            </w:tcBorders>
            <w:noWrap/>
            <w:vAlign w:val="center"/>
          </w:tcPr>
          <w:p w14:paraId="4141F7E4">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0.32</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7F4CDE5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0.0006</w:t>
            </w:r>
          </w:p>
        </w:tc>
        <w:tc>
          <w:tcPr>
            <w:tcW w:w="1238" w:type="dxa"/>
            <w:tcBorders>
              <w:top w:val="single" w:color="000000" w:sz="4" w:space="0"/>
              <w:left w:val="single" w:color="000000" w:sz="4" w:space="0"/>
              <w:bottom w:val="single" w:color="000000" w:sz="4" w:space="0"/>
              <w:right w:val="single" w:color="000000" w:sz="4" w:space="0"/>
            </w:tcBorders>
            <w:noWrap/>
            <w:vAlign w:val="center"/>
          </w:tcPr>
          <w:p w14:paraId="19D083C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6.91</w:t>
            </w:r>
          </w:p>
        </w:tc>
        <w:tc>
          <w:tcPr>
            <w:tcW w:w="1837" w:type="dxa"/>
            <w:tcBorders>
              <w:top w:val="single" w:color="000000" w:sz="4" w:space="0"/>
              <w:left w:val="single" w:color="000000" w:sz="4" w:space="0"/>
              <w:bottom w:val="single" w:color="000000" w:sz="4" w:space="0"/>
              <w:right w:val="single" w:color="000000" w:sz="4" w:space="0"/>
            </w:tcBorders>
            <w:noWrap/>
            <w:vAlign w:val="center"/>
          </w:tcPr>
          <w:p w14:paraId="25C0ECC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3F0E52F7">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r>
      <w:tr w14:paraId="576881EC">
        <w:tblPrEx>
          <w:tblCellMar>
            <w:top w:w="0" w:type="dxa"/>
            <w:left w:w="108" w:type="dxa"/>
            <w:bottom w:w="0" w:type="dxa"/>
            <w:right w:w="108" w:type="dxa"/>
          </w:tblCellMar>
        </w:tblPrEx>
        <w:trPr>
          <w:trHeight w:val="0" w:hRule="atLeast"/>
          <w:jc w:val="center"/>
        </w:trPr>
        <w:tc>
          <w:tcPr>
            <w:tcW w:w="5624" w:type="dxa"/>
            <w:gridSpan w:val="2"/>
            <w:tcBorders>
              <w:top w:val="single" w:color="000000" w:sz="4" w:space="0"/>
              <w:left w:val="single" w:color="000000" w:sz="4" w:space="0"/>
              <w:bottom w:val="single" w:color="000000" w:sz="4" w:space="0"/>
              <w:right w:val="single" w:color="000000" w:sz="4" w:space="0"/>
            </w:tcBorders>
            <w:noWrap/>
            <w:vAlign w:val="center"/>
          </w:tcPr>
          <w:p w14:paraId="02A29192">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能源间接温室气体排放量（范围二）</w:t>
            </w:r>
          </w:p>
        </w:tc>
        <w:tc>
          <w:tcPr>
            <w:tcW w:w="1900" w:type="dxa"/>
            <w:tcBorders>
              <w:top w:val="single" w:color="000000" w:sz="4" w:space="0"/>
              <w:left w:val="single" w:color="000000" w:sz="4" w:space="0"/>
              <w:bottom w:val="single" w:color="000000" w:sz="4" w:space="0"/>
              <w:right w:val="single" w:color="000000" w:sz="4" w:space="0"/>
            </w:tcBorders>
            <w:noWrap/>
            <w:vAlign w:val="center"/>
          </w:tcPr>
          <w:p w14:paraId="6DA19DD9">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tCO2e</w:t>
            </w:r>
          </w:p>
        </w:tc>
        <w:tc>
          <w:tcPr>
            <w:tcW w:w="1712" w:type="dxa"/>
            <w:tcBorders>
              <w:top w:val="single" w:color="000000" w:sz="4" w:space="0"/>
              <w:left w:val="single" w:color="000000" w:sz="4" w:space="0"/>
              <w:bottom w:val="single" w:color="000000" w:sz="4" w:space="0"/>
              <w:right w:val="single" w:color="000000" w:sz="4" w:space="0"/>
            </w:tcBorders>
            <w:noWrap/>
            <w:vAlign w:val="center"/>
          </w:tcPr>
          <w:p w14:paraId="0AB2700D">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2237.34</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0AC63CD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238" w:type="dxa"/>
            <w:tcBorders>
              <w:top w:val="single" w:color="000000" w:sz="4" w:space="0"/>
              <w:left w:val="single" w:color="000000" w:sz="4" w:space="0"/>
              <w:bottom w:val="single" w:color="000000" w:sz="4" w:space="0"/>
              <w:right w:val="single" w:color="000000" w:sz="4" w:space="0"/>
            </w:tcBorders>
            <w:noWrap/>
            <w:vAlign w:val="center"/>
          </w:tcPr>
          <w:p w14:paraId="088A3754">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837" w:type="dxa"/>
            <w:tcBorders>
              <w:top w:val="single" w:color="000000" w:sz="4" w:space="0"/>
              <w:left w:val="single" w:color="000000" w:sz="4" w:space="0"/>
              <w:bottom w:val="single" w:color="000000" w:sz="4" w:space="0"/>
              <w:right w:val="single" w:color="000000" w:sz="4" w:space="0"/>
            </w:tcBorders>
            <w:noWrap/>
            <w:vAlign w:val="center"/>
          </w:tcPr>
          <w:p w14:paraId="0139048A">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4535DC32">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r>
      <w:tr w14:paraId="1EAA53DE">
        <w:tblPrEx>
          <w:tblCellMar>
            <w:top w:w="0" w:type="dxa"/>
            <w:left w:w="108" w:type="dxa"/>
            <w:bottom w:w="0" w:type="dxa"/>
            <w:right w:w="108" w:type="dxa"/>
          </w:tblCellMar>
        </w:tblPrEx>
        <w:trPr>
          <w:trHeight w:val="0" w:hRule="atLeast"/>
          <w:jc w:val="center"/>
        </w:trPr>
        <w:tc>
          <w:tcPr>
            <w:tcW w:w="4149" w:type="dxa"/>
            <w:vMerge w:val="restart"/>
            <w:tcBorders>
              <w:top w:val="single" w:color="000000" w:sz="4" w:space="0"/>
              <w:left w:val="single" w:color="000000" w:sz="4" w:space="0"/>
              <w:bottom w:val="single" w:color="000000" w:sz="4" w:space="0"/>
              <w:right w:val="single" w:color="000000" w:sz="4" w:space="0"/>
            </w:tcBorders>
            <w:noWrap/>
            <w:vAlign w:val="center"/>
          </w:tcPr>
          <w:p w14:paraId="132ACDB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消耗的外部输入的电力、热、冷或蒸汽</w:t>
            </w:r>
          </w:p>
        </w:tc>
        <w:tc>
          <w:tcPr>
            <w:tcW w:w="1475" w:type="dxa"/>
            <w:tcBorders>
              <w:top w:val="single" w:color="000000" w:sz="4" w:space="0"/>
              <w:left w:val="single" w:color="000000" w:sz="4" w:space="0"/>
              <w:bottom w:val="single" w:color="000000" w:sz="4" w:space="0"/>
              <w:right w:val="single" w:color="000000" w:sz="4" w:space="0"/>
            </w:tcBorders>
            <w:noWrap/>
            <w:vAlign w:val="center"/>
          </w:tcPr>
          <w:p w14:paraId="6FF2A3C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电力</w:t>
            </w:r>
          </w:p>
        </w:tc>
        <w:tc>
          <w:tcPr>
            <w:tcW w:w="1900" w:type="dxa"/>
            <w:tcBorders>
              <w:top w:val="single" w:color="000000" w:sz="4" w:space="0"/>
              <w:left w:val="single" w:color="000000" w:sz="4" w:space="0"/>
              <w:bottom w:val="single" w:color="000000" w:sz="4" w:space="0"/>
              <w:right w:val="single" w:color="000000" w:sz="4" w:space="0"/>
            </w:tcBorders>
            <w:noWrap/>
            <w:vAlign w:val="center"/>
          </w:tcPr>
          <w:p w14:paraId="77B6C85B">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MWh</w:t>
            </w:r>
          </w:p>
        </w:tc>
        <w:tc>
          <w:tcPr>
            <w:tcW w:w="1712" w:type="dxa"/>
            <w:tcBorders>
              <w:top w:val="single" w:color="000000" w:sz="4" w:space="0"/>
              <w:left w:val="single" w:color="000000" w:sz="4" w:space="0"/>
              <w:bottom w:val="single" w:color="000000" w:sz="4" w:space="0"/>
              <w:right w:val="single" w:color="000000" w:sz="4" w:space="0"/>
            </w:tcBorders>
            <w:noWrap/>
            <w:vAlign w:val="center"/>
          </w:tcPr>
          <w:p w14:paraId="17A00EA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3923.10</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30B6C0B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7.8619</w:t>
            </w:r>
          </w:p>
        </w:tc>
        <w:tc>
          <w:tcPr>
            <w:tcW w:w="1238" w:type="dxa"/>
            <w:tcBorders>
              <w:top w:val="single" w:color="000000" w:sz="4" w:space="0"/>
              <w:left w:val="single" w:color="000000" w:sz="4" w:space="0"/>
              <w:bottom w:val="single" w:color="000000" w:sz="4" w:space="0"/>
              <w:right w:val="single" w:color="000000" w:sz="4" w:space="0"/>
            </w:tcBorders>
            <w:noWrap/>
            <w:vAlign w:val="center"/>
          </w:tcPr>
          <w:p w14:paraId="66DD344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2237.34</w:t>
            </w:r>
          </w:p>
        </w:tc>
        <w:tc>
          <w:tcPr>
            <w:tcW w:w="1837" w:type="dxa"/>
            <w:tcBorders>
              <w:top w:val="single" w:color="000000" w:sz="4" w:space="0"/>
              <w:left w:val="single" w:color="000000" w:sz="4" w:space="0"/>
              <w:bottom w:val="single" w:color="000000" w:sz="4" w:space="0"/>
              <w:right w:val="single" w:color="000000" w:sz="4" w:space="0"/>
            </w:tcBorders>
            <w:noWrap/>
            <w:vAlign w:val="center"/>
          </w:tcPr>
          <w:p w14:paraId="73B1088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42EE02E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r>
      <w:tr w14:paraId="5C439DCA">
        <w:tblPrEx>
          <w:tblCellMar>
            <w:top w:w="0" w:type="dxa"/>
            <w:left w:w="108" w:type="dxa"/>
            <w:bottom w:w="0" w:type="dxa"/>
            <w:right w:w="108" w:type="dxa"/>
          </w:tblCellMar>
        </w:tblPrEx>
        <w:trPr>
          <w:trHeight w:val="0" w:hRule="atLeast"/>
          <w:jc w:val="center"/>
        </w:trPr>
        <w:tc>
          <w:tcPr>
            <w:tcW w:w="4149" w:type="dxa"/>
            <w:vMerge w:val="continue"/>
            <w:tcBorders>
              <w:top w:val="single" w:color="000000" w:sz="4" w:space="0"/>
              <w:left w:val="single" w:color="000000" w:sz="4" w:space="0"/>
              <w:bottom w:val="single" w:color="000000" w:sz="4" w:space="0"/>
              <w:right w:val="single" w:color="000000" w:sz="4" w:space="0"/>
            </w:tcBorders>
            <w:noWrap/>
            <w:vAlign w:val="center"/>
          </w:tcPr>
          <w:p w14:paraId="0BC5D925">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消耗的外部输入的电力、热、冷或蒸汽</w:t>
            </w:r>
          </w:p>
        </w:tc>
        <w:tc>
          <w:tcPr>
            <w:tcW w:w="1475" w:type="dxa"/>
            <w:tcBorders>
              <w:top w:val="single" w:color="000000" w:sz="4" w:space="0"/>
              <w:left w:val="single" w:color="000000" w:sz="4" w:space="0"/>
              <w:bottom w:val="single" w:color="000000" w:sz="4" w:space="0"/>
              <w:right w:val="single" w:color="000000" w:sz="4" w:space="0"/>
            </w:tcBorders>
            <w:noWrap/>
            <w:vAlign w:val="center"/>
          </w:tcPr>
          <w:p w14:paraId="6ABA0331">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热力</w:t>
            </w:r>
          </w:p>
        </w:tc>
        <w:tc>
          <w:tcPr>
            <w:tcW w:w="1900" w:type="dxa"/>
            <w:tcBorders>
              <w:top w:val="single" w:color="000000" w:sz="4" w:space="0"/>
              <w:left w:val="single" w:color="000000" w:sz="4" w:space="0"/>
              <w:bottom w:val="single" w:color="000000" w:sz="4" w:space="0"/>
              <w:right w:val="single" w:color="000000" w:sz="4" w:space="0"/>
            </w:tcBorders>
            <w:noWrap/>
            <w:vAlign w:val="center"/>
          </w:tcPr>
          <w:p w14:paraId="75B2DA0A">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GJ</w:t>
            </w:r>
          </w:p>
        </w:tc>
        <w:tc>
          <w:tcPr>
            <w:tcW w:w="1712" w:type="dxa"/>
            <w:tcBorders>
              <w:top w:val="single" w:color="000000" w:sz="4" w:space="0"/>
              <w:left w:val="single" w:color="000000" w:sz="4" w:space="0"/>
              <w:bottom w:val="single" w:color="000000" w:sz="4" w:space="0"/>
              <w:right w:val="single" w:color="000000" w:sz="4" w:space="0"/>
            </w:tcBorders>
            <w:noWrap/>
            <w:vAlign w:val="center"/>
          </w:tcPr>
          <w:p w14:paraId="7E09687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0.00</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90C28C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0.0000</w:t>
            </w:r>
          </w:p>
        </w:tc>
        <w:tc>
          <w:tcPr>
            <w:tcW w:w="1238" w:type="dxa"/>
            <w:tcBorders>
              <w:top w:val="single" w:color="000000" w:sz="4" w:space="0"/>
              <w:left w:val="single" w:color="000000" w:sz="4" w:space="0"/>
              <w:bottom w:val="single" w:color="000000" w:sz="4" w:space="0"/>
              <w:right w:val="single" w:color="000000" w:sz="4" w:space="0"/>
            </w:tcBorders>
            <w:noWrap/>
            <w:vAlign w:val="center"/>
          </w:tcPr>
          <w:p w14:paraId="0A3083D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0.00</w:t>
            </w:r>
          </w:p>
        </w:tc>
        <w:tc>
          <w:tcPr>
            <w:tcW w:w="1837" w:type="dxa"/>
            <w:tcBorders>
              <w:top w:val="single" w:color="000000" w:sz="4" w:space="0"/>
              <w:left w:val="single" w:color="000000" w:sz="4" w:space="0"/>
              <w:bottom w:val="single" w:color="000000" w:sz="4" w:space="0"/>
              <w:right w:val="single" w:color="000000" w:sz="4" w:space="0"/>
            </w:tcBorders>
            <w:noWrap/>
            <w:vAlign w:val="center"/>
          </w:tcPr>
          <w:p w14:paraId="45446D7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912" w:type="dxa"/>
            <w:tcBorders>
              <w:top w:val="single" w:color="000000" w:sz="4" w:space="0"/>
              <w:left w:val="single" w:color="000000" w:sz="4" w:space="0"/>
              <w:bottom w:val="single" w:color="000000" w:sz="4" w:space="0"/>
              <w:right w:val="single" w:color="000000" w:sz="4" w:space="0"/>
            </w:tcBorders>
            <w:noWrap/>
            <w:vAlign w:val="center"/>
          </w:tcPr>
          <w:p w14:paraId="28D68DC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r>
    </w:tbl>
    <w:p w14:paraId="383AB242">
      <w:pPr>
        <w:pStyle w:val="2"/>
        <w:rPr>
          <w:rFonts w:hint="default" w:ascii="Times New Roman" w:hAnsi="Times New Roman" w:eastAsia="方正仿宋_GB2312" w:cs="Times New Roman"/>
          <w:b w:val="0"/>
          <w:bCs/>
          <w:color w:val="000000" w:themeColor="text1"/>
          <w:kern w:val="0"/>
          <w:sz w:val="18"/>
          <w:szCs w:val="18"/>
          <w14:textFill>
            <w14:solidFill>
              <w14:schemeClr w14:val="tx1"/>
            </w14:solidFill>
          </w14:textFill>
        </w:rPr>
      </w:pPr>
    </w:p>
    <w:p w14:paraId="60DBCD68">
      <w:pPr>
        <w:pStyle w:val="2"/>
        <w:rPr>
          <w:rFonts w:hint="default" w:ascii="Times New Roman" w:hAnsi="Times New Roman" w:eastAsia="方正仿宋_GB2312" w:cs="Times New Roman"/>
          <w:b w:val="0"/>
          <w:bCs/>
          <w:color w:val="000000" w:themeColor="text1"/>
          <w:kern w:val="0"/>
          <w:sz w:val="18"/>
          <w:szCs w:val="18"/>
          <w14:textFill>
            <w14:solidFill>
              <w14:schemeClr w14:val="tx1"/>
            </w14:solidFill>
          </w14:textFill>
        </w:rPr>
      </w:pPr>
    </w:p>
    <w:p w14:paraId="2032793A">
      <w:pPr>
        <w:pStyle w:val="2"/>
        <w:rPr>
          <w:rFonts w:hint="default" w:ascii="Times New Roman" w:hAnsi="Times New Roman" w:eastAsia="方正仿宋_GB2312" w:cs="Times New Roman"/>
          <w:b w:val="0"/>
          <w:bCs/>
          <w:color w:val="000000" w:themeColor="text1"/>
          <w:kern w:val="0"/>
          <w:sz w:val="18"/>
          <w:szCs w:val="18"/>
          <w14:textFill>
            <w14:solidFill>
              <w14:schemeClr w14:val="tx1"/>
            </w14:solidFill>
          </w14:textFill>
        </w:rPr>
      </w:pPr>
    </w:p>
    <w:p w14:paraId="54222A4E">
      <w:pPr>
        <w:ind w:firstLine="367"/>
        <w:rPr>
          <w:rFonts w:hint="default" w:ascii="Times New Roman" w:hAnsi="Times New Roman" w:eastAsia="方正仿宋_GB2312" w:cs="Times New Roman"/>
          <w:b w:val="0"/>
          <w:bCs/>
          <w:color w:val="000000" w:themeColor="text1"/>
          <w:kern w:val="0"/>
          <w:sz w:val="18"/>
          <w:szCs w:val="18"/>
          <w14:textFill>
            <w14:solidFill>
              <w14:schemeClr w14:val="tx1"/>
            </w14:solidFill>
          </w14:textFill>
        </w:rPr>
      </w:pPr>
      <w:r>
        <w:rPr>
          <w:rFonts w:hint="default" w:ascii="Times New Roman" w:hAnsi="Times New Roman" w:eastAsia="方正仿宋_GB2312" w:cs="Times New Roman"/>
          <w:b w:val="0"/>
          <w:bCs/>
          <w:color w:val="000000" w:themeColor="text1"/>
          <w:kern w:val="0"/>
          <w:sz w:val="18"/>
          <w:szCs w:val="18"/>
          <w14:textFill>
            <w14:solidFill>
              <w14:schemeClr w14:val="tx1"/>
            </w14:solidFill>
          </w14:textFill>
        </w:rPr>
        <w:br w:type="page"/>
      </w:r>
    </w:p>
    <w:p w14:paraId="21AD220E">
      <w:pPr>
        <w:widowControl/>
        <w:tabs>
          <w:tab w:val="left" w:pos="3119"/>
        </w:tabs>
        <w:spacing w:line="240" w:lineRule="auto"/>
        <w:ind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经营活动碳排放（范围三）</w:t>
      </w:r>
    </w:p>
    <w:tbl>
      <w:tblPr>
        <w:tblStyle w:val="22"/>
        <w:tblW w:w="14540" w:type="dxa"/>
        <w:jc w:val="center"/>
        <w:tblLayout w:type="autofit"/>
        <w:tblCellMar>
          <w:top w:w="0" w:type="dxa"/>
          <w:left w:w="108" w:type="dxa"/>
          <w:bottom w:w="0" w:type="dxa"/>
          <w:right w:w="108" w:type="dxa"/>
        </w:tblCellMar>
      </w:tblPr>
      <w:tblGrid>
        <w:gridCol w:w="1079"/>
        <w:gridCol w:w="4586"/>
        <w:gridCol w:w="2258"/>
        <w:gridCol w:w="2955"/>
        <w:gridCol w:w="3662"/>
      </w:tblGrid>
      <w:tr w14:paraId="700DEB1C">
        <w:tblPrEx>
          <w:tblCellMar>
            <w:top w:w="0" w:type="dxa"/>
            <w:left w:w="108" w:type="dxa"/>
            <w:bottom w:w="0" w:type="dxa"/>
            <w:right w:w="108" w:type="dxa"/>
          </w:tblCellMar>
        </w:tblPrEx>
        <w:trPr>
          <w:trHeight w:val="0" w:hRule="atLeast"/>
          <w:tblHeader/>
          <w:jc w:val="center"/>
        </w:trPr>
        <w:tc>
          <w:tcPr>
            <w:tcW w:w="1079" w:type="dxa"/>
            <w:vMerge w:val="restart"/>
            <w:tcBorders>
              <w:top w:val="single" w:color="000000" w:sz="4" w:space="0"/>
              <w:left w:val="single" w:color="000000" w:sz="4" w:space="0"/>
              <w:bottom w:val="single" w:color="000000" w:sz="4" w:space="0"/>
              <w:right w:val="single" w:color="000000" w:sz="4" w:space="0"/>
            </w:tcBorders>
            <w:noWrap w:val="0"/>
            <w:vAlign w:val="center"/>
          </w:tcPr>
          <w:p w14:paraId="649F7CFB">
            <w:pPr>
              <w:snapToGrid w:val="0"/>
              <w:spacing w:before="0" w:beforeLines="0"/>
              <w:ind w:left="0" w:leftChars="0" w:right="0" w:rightChars="0" w:firstLine="0" w:firstLineChars="0"/>
              <w:jc w:val="center"/>
              <w:rPr>
                <w:rFonts w:hint="default" w:ascii="Times New Roman" w:hAnsi="Times New Roman" w:eastAsia="方正仿宋_GB2312" w:cs="Times New Roman"/>
                <w:b/>
                <w:bCs/>
                <w:sz w:val="20"/>
                <w:szCs w:val="20"/>
              </w:rPr>
            </w:pPr>
            <w:r>
              <w:rPr>
                <w:rFonts w:hint="default" w:ascii="Times New Roman" w:hAnsi="Times New Roman" w:eastAsia="方正仿宋_GB2312" w:cs="Times New Roman"/>
                <w:b/>
                <w:bCs/>
                <w:sz w:val="20"/>
                <w:szCs w:val="20"/>
              </w:rPr>
              <w:t>核算要素</w:t>
            </w:r>
          </w:p>
        </w:tc>
        <w:tc>
          <w:tcPr>
            <w:tcW w:w="4586" w:type="dxa"/>
            <w:vMerge w:val="restart"/>
            <w:tcBorders>
              <w:top w:val="single" w:color="000000" w:sz="4" w:space="0"/>
              <w:left w:val="single" w:color="000000" w:sz="4" w:space="0"/>
              <w:bottom w:val="single" w:color="000000" w:sz="4" w:space="0"/>
              <w:right w:val="single" w:color="000000" w:sz="4" w:space="0"/>
            </w:tcBorders>
            <w:noWrap w:val="0"/>
            <w:vAlign w:val="center"/>
          </w:tcPr>
          <w:p w14:paraId="5FA95DC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核算细项</w:t>
            </w:r>
          </w:p>
        </w:tc>
        <w:tc>
          <w:tcPr>
            <w:tcW w:w="3662" w:type="dxa"/>
            <w:gridSpan w:val="3"/>
            <w:tcBorders>
              <w:top w:val="single" w:color="000000" w:sz="4" w:space="0"/>
              <w:left w:val="single" w:color="auto" w:sz="4" w:space="0"/>
              <w:bottom w:val="single" w:color="000000" w:sz="4" w:space="0"/>
              <w:right w:val="single" w:color="000000" w:sz="4" w:space="0"/>
            </w:tcBorders>
            <w:noWrap w:val="0"/>
            <w:vAlign w:val="center"/>
          </w:tcPr>
          <w:p w14:paraId="41B8B962">
            <w:pPr>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kern w:val="0"/>
                <w:sz w:val="20"/>
                <w:szCs w:val="20"/>
                <w:lang w:val="en-US" w:eastAsia="zh-CN"/>
              </w:rPr>
              <w:t>202</w:t>
            </w:r>
            <w:r>
              <w:rPr>
                <w:rFonts w:hint="eastAsia" w:ascii="Times New Roman" w:hAnsi="Times New Roman" w:eastAsia="方正仿宋_GB2312" w:cs="Times New Roman"/>
                <w:b/>
                <w:bCs/>
                <w:color w:val="000000"/>
                <w:kern w:val="0"/>
                <w:sz w:val="20"/>
                <w:szCs w:val="20"/>
                <w:lang w:val="en-US" w:eastAsia="zh-CN"/>
              </w:rPr>
              <w:t>5</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年</w:t>
            </w:r>
          </w:p>
        </w:tc>
      </w:tr>
      <w:tr w14:paraId="00E6CC91">
        <w:tblPrEx>
          <w:tblCellMar>
            <w:top w:w="0" w:type="dxa"/>
            <w:left w:w="108" w:type="dxa"/>
            <w:bottom w:w="0" w:type="dxa"/>
            <w:right w:w="108" w:type="dxa"/>
          </w:tblCellMar>
        </w:tblPrEx>
        <w:trPr>
          <w:trHeight w:val="0" w:hRule="atLeast"/>
          <w:tblHeader/>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1E9AB0">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p>
        </w:tc>
        <w:tc>
          <w:tcPr>
            <w:tcW w:w="458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EEFA87">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p>
        </w:tc>
        <w:tc>
          <w:tcPr>
            <w:tcW w:w="2258" w:type="dxa"/>
            <w:tcBorders>
              <w:top w:val="single" w:color="000000" w:sz="4" w:space="0"/>
              <w:left w:val="single" w:color="auto" w:sz="4" w:space="0"/>
              <w:bottom w:val="single" w:color="000000" w:sz="4" w:space="0"/>
              <w:right w:val="single" w:color="000000" w:sz="4" w:space="0"/>
            </w:tcBorders>
            <w:noWrap w:val="0"/>
            <w:vAlign w:val="center"/>
          </w:tcPr>
          <w:p w14:paraId="4B077044">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碳排放量（</w:t>
            </w:r>
            <w:r>
              <w:rPr>
                <w:rFonts w:hint="default" w:ascii="Times New Roman" w:hAnsi="Times New Roman" w:eastAsia="方正仿宋_GB2312" w:cs="Times New Roman"/>
                <w:b/>
                <w:bCs/>
                <w:color w:val="000000" w:themeColor="text1"/>
                <w:kern w:val="0"/>
                <w:sz w:val="20"/>
                <w:szCs w:val="20"/>
                <w:lang w:val="en-US"/>
                <w14:textFill>
                  <w14:solidFill>
                    <w14:schemeClr w14:val="tx1"/>
                  </w14:solidFill>
                </w14:textFill>
              </w:rPr>
              <w:t>tCO2e</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C63D52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人均碳排放量（</w:t>
            </w:r>
            <w:r>
              <w:rPr>
                <w:rFonts w:hint="default" w:ascii="Times New Roman" w:hAnsi="Times New Roman" w:eastAsia="方正仿宋_GB2312" w:cs="Times New Roman"/>
                <w:b/>
                <w:bCs/>
                <w:color w:val="000000" w:themeColor="text1"/>
                <w:kern w:val="0"/>
                <w:sz w:val="20"/>
                <w:szCs w:val="20"/>
                <w:lang w:val="en-US"/>
                <w14:textFill>
                  <w14:solidFill>
                    <w14:schemeClr w14:val="tx1"/>
                  </w14:solidFill>
                </w14:textFill>
              </w:rPr>
              <w:t>tCO2e</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/人）</w:t>
            </w:r>
          </w:p>
        </w:tc>
        <w:tc>
          <w:tcPr>
            <w:tcW w:w="3662" w:type="dxa"/>
            <w:tcBorders>
              <w:top w:val="single" w:color="000000" w:sz="4" w:space="0"/>
              <w:left w:val="single" w:color="000000" w:sz="4" w:space="0"/>
              <w:bottom w:val="single" w:color="000000" w:sz="4" w:space="0"/>
              <w:right w:val="single" w:color="000000" w:sz="4" w:space="0"/>
            </w:tcBorders>
            <w:noWrap w:val="0"/>
            <w:vAlign w:val="center"/>
          </w:tcPr>
          <w:p w14:paraId="5F7313EF">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单位面积碳排放量（</w:t>
            </w:r>
            <w:r>
              <w:rPr>
                <w:rFonts w:hint="default" w:ascii="Times New Roman" w:hAnsi="Times New Roman" w:eastAsia="方正仿宋_GB2312" w:cs="Times New Roman"/>
                <w:b/>
                <w:bCs/>
                <w:color w:val="000000" w:themeColor="text1"/>
                <w:kern w:val="0"/>
                <w:sz w:val="20"/>
                <w:szCs w:val="20"/>
                <w:lang w:val="en-US"/>
                <w14:textFill>
                  <w14:solidFill>
                    <w14:schemeClr w14:val="tx1"/>
                  </w14:solidFill>
                </w14:textFill>
              </w:rPr>
              <w:t>tCO2e</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/平方米）</w:t>
            </w:r>
          </w:p>
        </w:tc>
      </w:tr>
      <w:tr w14:paraId="34FF8241">
        <w:tblPrEx>
          <w:tblCellMar>
            <w:top w:w="0" w:type="dxa"/>
            <w:left w:w="108" w:type="dxa"/>
            <w:bottom w:w="0" w:type="dxa"/>
            <w:right w:w="108" w:type="dxa"/>
          </w:tblCellMar>
        </w:tblPrEx>
        <w:trPr>
          <w:trHeight w:val="0" w:hRule="atLeast"/>
          <w:jc w:val="center"/>
        </w:trPr>
        <w:tc>
          <w:tcPr>
            <w:tcW w:w="5665" w:type="dxa"/>
            <w:gridSpan w:val="2"/>
            <w:tcBorders>
              <w:top w:val="single" w:color="000000" w:sz="4" w:space="0"/>
              <w:left w:val="single" w:color="000000" w:sz="4" w:space="0"/>
              <w:bottom w:val="single" w:color="000000" w:sz="4" w:space="0"/>
              <w:right w:val="single" w:color="000000" w:sz="4" w:space="0"/>
            </w:tcBorders>
            <w:noWrap/>
            <w:vAlign w:val="center"/>
          </w:tcPr>
          <w:p w14:paraId="677FB24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其他间接温室气体排放（范围三（不含投资））</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7E6A483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486.31</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32E823DD">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0.9746</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16F9FD8F">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0.008532</w:t>
            </w:r>
          </w:p>
        </w:tc>
      </w:tr>
      <w:tr w14:paraId="3AC3AAFB">
        <w:tblPrEx>
          <w:tblCellMar>
            <w:top w:w="0" w:type="dxa"/>
            <w:left w:w="108" w:type="dxa"/>
            <w:bottom w:w="0" w:type="dxa"/>
            <w:right w:w="108" w:type="dxa"/>
          </w:tblCellMar>
        </w:tblPrEx>
        <w:trPr>
          <w:trHeight w:val="0" w:hRule="atLeast"/>
          <w:jc w:val="center"/>
        </w:trPr>
        <w:tc>
          <w:tcPr>
            <w:tcW w:w="1079" w:type="dxa"/>
            <w:vMerge w:val="restart"/>
            <w:tcBorders>
              <w:top w:val="single" w:color="000000" w:sz="4" w:space="0"/>
              <w:left w:val="single" w:color="000000" w:sz="4" w:space="0"/>
              <w:bottom w:val="single" w:color="000000" w:sz="4" w:space="0"/>
              <w:right w:val="single" w:color="000000" w:sz="4" w:space="0"/>
            </w:tcBorders>
            <w:noWrap/>
            <w:vAlign w:val="center"/>
          </w:tcPr>
          <w:p w14:paraId="30C01BAA">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上游排放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2BF361DE">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3.1购买商品与服务</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740142E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318.99</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24260CD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725251F2">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792E5C1D">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7D321638">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上游排放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26C57273">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3.2资本商品</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2C889454">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665477D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266238AA">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5B6746D7">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0409AD63">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上游排放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21BB6E6D">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3.3范围一、二中未包含的燃料和能源相关活动</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5475850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35D8116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1DEE54D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7C4E143A">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175284B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上游排放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737164F6">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3.4上游运输和配送</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6867E4D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7A4CDDE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1906312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13B86ADF">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16A64C90">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上游排放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5D3B44CB">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3.5运营中产生的废物</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5411B3F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1.99</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3C2ED89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47661FD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572C85A6">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5417340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上游排放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61137309">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3.6差旅</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2677FD8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82.01</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61DA219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3A77D12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3B7BE459">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1B7AC2BB">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上游排放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61240A63">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3.7员工通勤</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3B4B16A7">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83.32</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5CEA62CA">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30B3052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5EC9306F">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296C4C78">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上游排放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7E4195B8">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3.8上游租赁资产</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0FBD3BC7">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41683342">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1A97C65D">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1569D94F">
        <w:tblPrEx>
          <w:tblCellMar>
            <w:top w:w="0" w:type="dxa"/>
            <w:left w:w="108" w:type="dxa"/>
            <w:bottom w:w="0" w:type="dxa"/>
            <w:right w:w="108" w:type="dxa"/>
          </w:tblCellMar>
        </w:tblPrEx>
        <w:trPr>
          <w:trHeight w:val="0" w:hRule="atLeast"/>
          <w:jc w:val="center"/>
        </w:trPr>
        <w:tc>
          <w:tcPr>
            <w:tcW w:w="1079" w:type="dxa"/>
            <w:vMerge w:val="restart"/>
            <w:tcBorders>
              <w:top w:val="single" w:color="000000" w:sz="4" w:space="0"/>
              <w:left w:val="single" w:color="000000" w:sz="4" w:space="0"/>
              <w:bottom w:val="single" w:color="000000" w:sz="4" w:space="0"/>
              <w:right w:val="single" w:color="000000" w:sz="4" w:space="0"/>
            </w:tcBorders>
            <w:noWrap/>
            <w:vAlign w:val="center"/>
          </w:tcPr>
          <w:p w14:paraId="5EED85D7">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下游排放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03729A2D">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3.9下游运输和配送</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1394968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4F5B4E5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70BAF98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5372B62C">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7CE41D46">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下游排放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1C778ABF">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3.10售出产品的加工</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00F47944">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5B22AB9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4B4B690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5A49F3C7">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3B239AE5">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18"/>
                <w14:textFill>
                  <w14:solidFill>
                    <w14:schemeClr w14:val="tx1"/>
                  </w14:solidFill>
                </w14:textFill>
              </w:rPr>
            </w:pPr>
            <w:r>
              <w:rPr>
                <w:rFonts w:hint="default" w:ascii="Times New Roman" w:hAnsi="Times New Roman" w:eastAsia="方正仿宋_GB2312" w:cs="Times New Roman"/>
                <w:b w:val="0"/>
                <w:bCs/>
                <w:color w:val="000000"/>
                <w:kern w:val="0"/>
                <w:sz w:val="20"/>
                <w:szCs w:val="18"/>
                <w:lang w:val="en-US" w:eastAsia="zh-CN"/>
              </w:rPr>
              <w:t>下游排放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1219D51F">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18"/>
                <w14:textFill>
                  <w14:solidFill>
                    <w14:schemeClr w14:val="tx1"/>
                  </w14:solidFill>
                </w14:textFill>
              </w:rPr>
            </w:pPr>
            <w:r>
              <w:rPr>
                <w:rFonts w:hint="default" w:ascii="Times New Roman" w:hAnsi="Times New Roman" w:eastAsia="方正仿宋_GB2312" w:cs="Times New Roman"/>
                <w:b w:val="0"/>
                <w:bCs/>
                <w:color w:val="000000"/>
                <w:kern w:val="0"/>
                <w:sz w:val="20"/>
                <w:szCs w:val="18"/>
                <w:lang w:val="en-US" w:eastAsia="zh-CN"/>
              </w:rPr>
              <w:t>3.11售出产品的使用</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1B7DF8F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365CD14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0D9394B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220C177E">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3A968CA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18"/>
                <w14:textFill>
                  <w14:solidFill>
                    <w14:schemeClr w14:val="tx1"/>
                  </w14:solidFill>
                </w14:textFill>
              </w:rPr>
            </w:pPr>
            <w:r>
              <w:rPr>
                <w:rFonts w:hint="default" w:ascii="Times New Roman" w:hAnsi="Times New Roman" w:eastAsia="方正仿宋_GB2312" w:cs="Times New Roman"/>
                <w:b w:val="0"/>
                <w:bCs/>
                <w:color w:val="000000"/>
                <w:kern w:val="0"/>
                <w:sz w:val="20"/>
                <w:szCs w:val="18"/>
                <w:lang w:val="en-US" w:eastAsia="zh-CN"/>
              </w:rPr>
              <w:t>下游排放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39445ABA">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18"/>
                <w14:textFill>
                  <w14:solidFill>
                    <w14:schemeClr w14:val="tx1"/>
                  </w14:solidFill>
                </w14:textFill>
              </w:rPr>
            </w:pPr>
            <w:r>
              <w:rPr>
                <w:rFonts w:hint="default" w:ascii="Times New Roman" w:hAnsi="Times New Roman" w:eastAsia="方正仿宋_GB2312" w:cs="Times New Roman"/>
                <w:b w:val="0"/>
                <w:bCs/>
                <w:color w:val="000000"/>
                <w:kern w:val="0"/>
                <w:sz w:val="20"/>
                <w:szCs w:val="18"/>
                <w:lang w:val="en-US" w:eastAsia="zh-CN"/>
              </w:rPr>
              <w:t>3.12售出产品的报废处理</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0AE11357">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29D0E75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6AD5FE2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26FBF635">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797747E0">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18"/>
                <w14:textFill>
                  <w14:solidFill>
                    <w14:schemeClr w14:val="tx1"/>
                  </w14:solidFill>
                </w14:textFill>
              </w:rPr>
            </w:pPr>
            <w:r>
              <w:rPr>
                <w:rFonts w:hint="default" w:ascii="Times New Roman" w:hAnsi="Times New Roman" w:eastAsia="方正仿宋_GB2312" w:cs="Times New Roman"/>
                <w:b w:val="0"/>
                <w:bCs/>
                <w:color w:val="000000"/>
                <w:kern w:val="0"/>
                <w:sz w:val="20"/>
                <w:szCs w:val="18"/>
                <w:lang w:val="en-US" w:eastAsia="zh-CN"/>
              </w:rPr>
              <w:t>下游排放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6B8990C1">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18"/>
                <w14:textFill>
                  <w14:solidFill>
                    <w14:schemeClr w14:val="tx1"/>
                  </w14:solidFill>
                </w14:textFill>
              </w:rPr>
            </w:pPr>
            <w:r>
              <w:rPr>
                <w:rFonts w:hint="default" w:ascii="Times New Roman" w:hAnsi="Times New Roman" w:eastAsia="方正仿宋_GB2312" w:cs="Times New Roman"/>
                <w:b w:val="0"/>
                <w:bCs/>
                <w:color w:val="000000"/>
                <w:kern w:val="0"/>
                <w:sz w:val="20"/>
                <w:szCs w:val="18"/>
                <w:lang w:val="en-US" w:eastAsia="zh-CN"/>
              </w:rPr>
              <w:t>3.13下游租赁资产</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2CF9FE8F">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0B90D11F">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3D18A92D">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r w14:paraId="7D4366FD">
        <w:tblPrEx>
          <w:tblCellMar>
            <w:top w:w="0" w:type="dxa"/>
            <w:left w:w="108" w:type="dxa"/>
            <w:bottom w:w="0" w:type="dxa"/>
            <w:right w:w="108" w:type="dxa"/>
          </w:tblCellMar>
        </w:tblPrEx>
        <w:trPr>
          <w:trHeight w:val="0" w:hRule="atLeast"/>
          <w:jc w:val="center"/>
        </w:trPr>
        <w:tc>
          <w:tcPr>
            <w:tcW w:w="1079" w:type="dxa"/>
            <w:vMerge w:val="continue"/>
            <w:tcBorders>
              <w:top w:val="single" w:color="000000" w:sz="4" w:space="0"/>
              <w:left w:val="single" w:color="000000" w:sz="4" w:space="0"/>
              <w:bottom w:val="single" w:color="000000" w:sz="4" w:space="0"/>
              <w:right w:val="single" w:color="000000" w:sz="4" w:space="0"/>
            </w:tcBorders>
            <w:noWrap/>
            <w:vAlign w:val="center"/>
          </w:tcPr>
          <w:p w14:paraId="2B63E1EB">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18"/>
                <w14:textFill>
                  <w14:solidFill>
                    <w14:schemeClr w14:val="tx1"/>
                  </w14:solidFill>
                </w14:textFill>
              </w:rPr>
            </w:pPr>
            <w:r>
              <w:rPr>
                <w:rFonts w:hint="default" w:ascii="Times New Roman" w:hAnsi="Times New Roman" w:eastAsia="方正仿宋_GB2312" w:cs="Times New Roman"/>
                <w:b w:val="0"/>
                <w:bCs/>
                <w:color w:val="000000"/>
                <w:kern w:val="0"/>
                <w:sz w:val="20"/>
                <w:szCs w:val="18"/>
                <w:lang w:val="en-US" w:eastAsia="zh-CN"/>
              </w:rPr>
              <w:t>下游排放</w:t>
            </w:r>
          </w:p>
        </w:tc>
        <w:tc>
          <w:tcPr>
            <w:tcW w:w="4586" w:type="dxa"/>
            <w:tcBorders>
              <w:top w:val="single" w:color="000000" w:sz="4" w:space="0"/>
              <w:left w:val="single" w:color="000000" w:sz="4" w:space="0"/>
              <w:bottom w:val="single" w:color="000000" w:sz="4" w:space="0"/>
              <w:right w:val="single" w:color="000000" w:sz="4" w:space="0"/>
            </w:tcBorders>
            <w:noWrap/>
            <w:vAlign w:val="center"/>
          </w:tcPr>
          <w:p w14:paraId="14E3A123">
            <w:pPr>
              <w:keepNext w:val="0"/>
              <w:keepLines w:val="0"/>
              <w:widowControl/>
              <w:suppressLineNumbers w:val="0"/>
              <w:snapToGrid w:val="0"/>
              <w:spacing w:before="0" w:beforeLines="0"/>
              <w:ind w:left="0" w:leftChars="0" w:right="0" w:rightChars="0" w:firstLine="0" w:firstLineChars="0"/>
              <w:jc w:val="left"/>
              <w:textAlignment w:val="center"/>
              <w:rPr>
                <w:rFonts w:hint="default" w:ascii="Times New Roman" w:hAnsi="Times New Roman" w:eastAsia="方正仿宋_GB2312" w:cs="Times New Roman"/>
                <w:b w:val="0"/>
                <w:bCs/>
                <w:color w:val="000000" w:themeColor="text1"/>
                <w:kern w:val="0"/>
                <w:sz w:val="20"/>
                <w:szCs w:val="18"/>
                <w14:textFill>
                  <w14:solidFill>
                    <w14:schemeClr w14:val="tx1"/>
                  </w14:solidFill>
                </w14:textFill>
              </w:rPr>
            </w:pPr>
            <w:r>
              <w:rPr>
                <w:rFonts w:hint="default" w:ascii="Times New Roman" w:hAnsi="Times New Roman" w:eastAsia="方正仿宋_GB2312" w:cs="Times New Roman"/>
                <w:b w:val="0"/>
                <w:bCs/>
                <w:color w:val="000000"/>
                <w:kern w:val="0"/>
                <w:sz w:val="20"/>
                <w:szCs w:val="18"/>
                <w:lang w:val="en-US" w:eastAsia="zh-CN"/>
              </w:rPr>
              <w:t>3.14特许经营权</w:t>
            </w:r>
          </w:p>
        </w:tc>
        <w:tc>
          <w:tcPr>
            <w:tcW w:w="2258" w:type="dxa"/>
            <w:tcBorders>
              <w:top w:val="single" w:color="000000" w:sz="4" w:space="0"/>
              <w:left w:val="single" w:color="000000" w:sz="4" w:space="0"/>
              <w:bottom w:val="single" w:color="000000" w:sz="4" w:space="0"/>
              <w:right w:val="single" w:color="000000" w:sz="4" w:space="0"/>
            </w:tcBorders>
            <w:noWrap/>
            <w:vAlign w:val="center"/>
          </w:tcPr>
          <w:p w14:paraId="09926E9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2955" w:type="dxa"/>
            <w:tcBorders>
              <w:top w:val="single" w:color="000000" w:sz="4" w:space="0"/>
              <w:left w:val="single" w:color="000000" w:sz="4" w:space="0"/>
              <w:bottom w:val="single" w:color="000000" w:sz="4" w:space="0"/>
              <w:right w:val="single" w:color="000000" w:sz="4" w:space="0"/>
            </w:tcBorders>
            <w:noWrap/>
            <w:vAlign w:val="center"/>
          </w:tcPr>
          <w:p w14:paraId="583A2602">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c>
          <w:tcPr>
            <w:tcW w:w="3662" w:type="dxa"/>
            <w:tcBorders>
              <w:top w:val="single" w:color="000000" w:sz="4" w:space="0"/>
              <w:left w:val="single" w:color="000000" w:sz="4" w:space="0"/>
              <w:bottom w:val="single" w:color="000000" w:sz="4" w:space="0"/>
              <w:right w:val="single" w:color="000000" w:sz="4" w:space="0"/>
            </w:tcBorders>
            <w:noWrap/>
            <w:vAlign w:val="center"/>
          </w:tcPr>
          <w:p w14:paraId="0FF459FD">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kern w:val="0"/>
                <w:sz w:val="20"/>
                <w:szCs w:val="20"/>
                <w:lang w:val="en-US" w:eastAsia="zh-CN"/>
              </w:rPr>
              <w:t>/</w:t>
            </w:r>
          </w:p>
        </w:tc>
      </w:tr>
    </w:tbl>
    <w:p w14:paraId="3EFA8443">
      <w:pPr>
        <w:pStyle w:val="2"/>
        <w:rPr>
          <w:rFonts w:hint="default" w:ascii="Times New Roman" w:hAnsi="Times New Roman" w:eastAsia="方正仿宋_GB2312" w:cs="Times New Roman"/>
          <w:b w:val="0"/>
          <w:bCs/>
          <w:color w:val="000000" w:themeColor="text1"/>
          <w:kern w:val="0"/>
          <w:sz w:val="18"/>
          <w:szCs w:val="18"/>
          <w14:textFill>
            <w14:solidFill>
              <w14:schemeClr w14:val="tx1"/>
            </w14:solidFill>
          </w14:textFill>
        </w:rPr>
      </w:pPr>
    </w:p>
    <w:p w14:paraId="2F0C06F1">
      <w:pPr>
        <w:pStyle w:val="2"/>
        <w:ind w:left="0" w:leftChars="0" w:firstLine="0" w:firstLineChars="0"/>
        <w:rPr>
          <w:rFonts w:hint="default" w:ascii="Times New Roman" w:hAnsi="Times New Roman" w:eastAsia="方正仿宋_GB2312" w:cs="Times New Roman"/>
          <w:b w:val="0"/>
          <w:bCs/>
          <w:color w:val="000000" w:themeColor="text1"/>
          <w:kern w:val="0"/>
          <w:sz w:val="18"/>
          <w:szCs w:val="18"/>
          <w14:textFill>
            <w14:solidFill>
              <w14:schemeClr w14:val="tx1"/>
            </w14:solidFill>
          </w14:textFill>
        </w:rPr>
      </w:pPr>
    </w:p>
    <w:p w14:paraId="1E640AC2">
      <w:pPr>
        <w:pStyle w:val="2"/>
        <w:rPr>
          <w:rFonts w:hint="default" w:ascii="Times New Roman" w:hAnsi="Times New Roman" w:eastAsia="方正仿宋_GB2312" w:cs="Times New Roman"/>
          <w:b w:val="0"/>
          <w:bCs/>
          <w:color w:val="000000" w:themeColor="text1"/>
          <w:kern w:val="0"/>
          <w:sz w:val="18"/>
          <w:szCs w:val="18"/>
          <w14:textFill>
            <w14:solidFill>
              <w14:schemeClr w14:val="tx1"/>
            </w14:solidFill>
          </w14:textFill>
        </w:rPr>
      </w:pPr>
    </w:p>
    <w:p w14:paraId="6027CCC1">
      <w:pPr>
        <w:ind w:firstLine="0" w:firstLineChars="0"/>
        <w:rPr>
          <w:rFonts w:hint="default" w:ascii="Times New Roman" w:hAnsi="Times New Roman" w:eastAsia="方正仿宋_GB2312" w:cs="Times New Roman"/>
          <w:b w:val="0"/>
          <w:bCs/>
          <w:color w:val="000000" w:themeColor="text1"/>
          <w14:textFill>
            <w14:solidFill>
              <w14:schemeClr w14:val="tx1"/>
            </w14:solidFill>
          </w14:textFill>
        </w:rPr>
      </w:pPr>
    </w:p>
    <w:p w14:paraId="27AF117E">
      <w:pPr>
        <w:ind w:firstLine="640"/>
        <w:rPr>
          <w:rFonts w:hint="default" w:ascii="Times New Roman" w:hAnsi="Times New Roman" w:eastAsia="方正仿宋_GB2312" w:cs="Times New Roman"/>
          <w:b w:val="0"/>
          <w:bCs/>
          <w:color w:val="000000" w:themeColor="text1"/>
          <w14:textFill>
            <w14:solidFill>
              <w14:schemeClr w14:val="tx1"/>
            </w14:solidFill>
          </w14:textFill>
        </w:rPr>
        <w:sectPr>
          <w:headerReference r:id="rId17" w:type="first"/>
          <w:footerReference r:id="rId19" w:type="first"/>
          <w:footerReference r:id="rId18" w:type="default"/>
          <w:headerReference r:id="rId16" w:type="even"/>
          <w:pgSz w:w="16838" w:h="11906" w:orient="landscape"/>
          <w:pgMar w:top="1480" w:right="1440" w:bottom="1146" w:left="1440" w:header="851" w:footer="992" w:gutter="0"/>
          <w:pgNumType w:fmt="decimal"/>
          <w:cols w:space="720" w:num="1"/>
          <w:docGrid w:type="lines" w:linePitch="435" w:charSpace="0"/>
        </w:sectPr>
      </w:pPr>
    </w:p>
    <w:p w14:paraId="182F89AC">
      <w:pPr>
        <w:pStyle w:val="3"/>
        <w:bidi w:val="0"/>
        <w:rPr>
          <w:rFonts w:hint="default" w:ascii="Times New Roman" w:hAnsi="Times New Roman" w:eastAsia="方正仿宋_GB2312" w:cs="Times New Roman"/>
          <w:b w:val="0"/>
          <w:bCs/>
          <w:lang w:val="en-US" w:eastAsia="zh-CN"/>
        </w:rPr>
      </w:pPr>
      <w:bookmarkStart w:id="28" w:name="_Toc30257"/>
      <w:bookmarkStart w:id="29" w:name="_Toc9838"/>
      <w:bookmarkStart w:id="30" w:name="_Toc156994198"/>
      <w:r>
        <w:rPr>
          <w:rFonts w:hint="default" w:ascii="Times New Roman" w:hAnsi="Times New Roman" w:eastAsia="方正仿宋_GB2312" w:cs="Times New Roman"/>
          <w:b w:val="0"/>
          <w:bCs/>
          <w:lang w:val="en-US" w:eastAsia="zh-CN"/>
        </w:rPr>
        <w:t>第七章投融资活动的碳排放</w:t>
      </w:r>
      <w:bookmarkEnd w:id="28"/>
      <w:bookmarkEnd w:id="29"/>
    </w:p>
    <w:bookmarkEnd w:id="30"/>
    <w:p w14:paraId="543FC090">
      <w:pPr>
        <w:pStyle w:val="5"/>
        <w:bidi w:val="0"/>
        <w:rPr>
          <w:rFonts w:hint="default" w:ascii="Times New Roman" w:hAnsi="Times New Roman" w:eastAsia="方正仿宋_GB2312" w:cs="Times New Roman"/>
          <w:b w:val="0"/>
          <w:bCs/>
        </w:rPr>
      </w:pPr>
      <w:bookmarkStart w:id="31" w:name="_Toc14846"/>
      <w:bookmarkStart w:id="32" w:name="_Toc136"/>
      <w:r>
        <w:rPr>
          <w:rFonts w:hint="default" w:ascii="Times New Roman" w:hAnsi="Times New Roman" w:eastAsia="方正仿宋_GB2312" w:cs="Times New Roman"/>
          <w:b w:val="0"/>
          <w:bCs/>
        </w:rPr>
        <w:t>7.1</w:t>
      </w:r>
      <w:r>
        <w:rPr>
          <w:rFonts w:hint="default" w:ascii="Times New Roman" w:hAnsi="Times New Roman" w:eastAsia="方正仿宋_GB2312" w:cs="Times New Roman"/>
          <w:b w:val="0"/>
          <w:bCs/>
          <w:lang w:val="en-US" w:eastAsia="zh-CN"/>
        </w:rPr>
        <w:t>贷款</w:t>
      </w:r>
      <w:r>
        <w:rPr>
          <w:rFonts w:hint="default" w:ascii="Times New Roman" w:hAnsi="Times New Roman" w:eastAsia="方正仿宋_GB2312" w:cs="Times New Roman"/>
          <w:b w:val="0"/>
          <w:bCs/>
        </w:rPr>
        <w:t>资产</w:t>
      </w:r>
      <w:bookmarkEnd w:id="31"/>
      <w:bookmarkEnd w:id="32"/>
    </w:p>
    <w:p w14:paraId="388701C3">
      <w:pPr>
        <w:widowControl/>
        <w:kinsoku w:val="0"/>
        <w:autoSpaceDE w:val="0"/>
        <w:autoSpaceDN w:val="0"/>
        <w:adjustRightInd w:val="0"/>
        <w:snapToGrid w:val="0"/>
        <w:spacing w:before="156" w:beforeLines="50" w:line="240" w:lineRule="auto"/>
        <w:jc w:val="left"/>
        <w:textAlignment w:val="baseline"/>
        <w:rPr>
          <w:rFonts w:hint="default" w:ascii="Times New Roman" w:hAnsi="Times New Roman" w:eastAsia="方正仿宋_GB2312" w:cs="Times New Roman"/>
          <w:b w:val="0"/>
          <w:bCs/>
          <w:snapToGrid w:val="0"/>
          <w:color w:val="000000" w:themeColor="text1"/>
          <w:spacing w:val="6"/>
          <w:kern w:val="0"/>
          <w:sz w:val="24"/>
          <w:szCs w:val="24"/>
          <w:highlight w:val="none"/>
          <w:lang w:eastAsia="zh-CN"/>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highlight w:val="none"/>
          <w14:textFill>
            <w14:solidFill>
              <w14:schemeClr w14:val="tx1"/>
            </w14:solidFill>
          </w14:textFill>
        </w:rPr>
        <w:t>报告年度内</w:t>
      </w:r>
      <w:r>
        <w:rPr>
          <w:rFonts w:hint="default" w:ascii="Times New Roman" w:hAnsi="Times New Roman" w:eastAsia="方正仿宋_GB2312" w:cs="Times New Roman"/>
          <w:b w:val="0"/>
          <w:bCs/>
          <w:snapToGrid w:val="0"/>
          <w:color w:val="000000" w:themeColor="text1"/>
          <w:spacing w:val="6"/>
          <w:kern w:val="0"/>
          <w:sz w:val="24"/>
          <w:szCs w:val="24"/>
          <w:highlight w:val="none"/>
          <w:lang w:eastAsia="zh-CN"/>
          <w14:textFill>
            <w14:solidFill>
              <w14:schemeClr w14:val="tx1"/>
            </w14:solidFill>
          </w14:textFill>
        </w:rPr>
        <w:t>本行</w:t>
      </w:r>
      <w:r>
        <w:rPr>
          <w:rFonts w:hint="default" w:ascii="Times New Roman" w:hAnsi="Times New Roman" w:eastAsia="方正仿宋_GB2312" w:cs="Times New Roman"/>
          <w:b w:val="0"/>
          <w:bCs/>
          <w:snapToGrid w:val="0"/>
          <w:color w:val="000000" w:themeColor="text1"/>
          <w:spacing w:val="6"/>
          <w:kern w:val="0"/>
          <w:sz w:val="24"/>
          <w:szCs w:val="24"/>
          <w:highlight w:val="none"/>
          <w14:textFill>
            <w14:solidFill>
              <w14:schemeClr w14:val="tx1"/>
            </w14:solidFill>
          </w14:textFill>
        </w:rPr>
        <w:t>应纳入投融资活动碳排放核算的贷款企业</w:t>
      </w:r>
      <w:r>
        <w:rPr>
          <w:rFonts w:hint="default" w:ascii="Times New Roman" w:hAnsi="Times New Roman" w:eastAsia="方正仿宋_GB2312" w:cs="Times New Roman"/>
          <w:b w:val="0"/>
          <w:bCs/>
          <w:snapToGrid w:val="0"/>
          <w:color w:val="000000" w:themeColor="text1"/>
          <w:spacing w:val="6"/>
          <w:kern w:val="0"/>
          <w:sz w:val="24"/>
          <w:szCs w:val="24"/>
          <w:highlight w:val="none"/>
          <w:lang w:val="en-US" w:eastAsia="zh-CN"/>
          <w14:textFill>
            <w14:solidFill>
              <w14:schemeClr w14:val="tx1"/>
            </w14:solidFill>
          </w14:textFill>
        </w:rPr>
        <w:t>和项目</w:t>
      </w:r>
      <w:r>
        <w:rPr>
          <w:rFonts w:hint="default" w:ascii="Times New Roman" w:hAnsi="Times New Roman" w:eastAsia="方正仿宋_GB2312" w:cs="Times New Roman"/>
          <w:b w:val="0"/>
          <w:bCs/>
          <w:snapToGrid w:val="0"/>
          <w:color w:val="000000" w:themeColor="text1"/>
          <w:spacing w:val="6"/>
          <w:kern w:val="0"/>
          <w:sz w:val="24"/>
          <w:szCs w:val="24"/>
          <w:highlight w:val="none"/>
          <w14:textFill>
            <w14:solidFill>
              <w14:schemeClr w14:val="tx1"/>
            </w14:solidFill>
          </w14:textFill>
        </w:rPr>
        <w:t>共计</w:t>
      </w:r>
      <w:r>
        <w:rPr>
          <w:rFonts w:hint="default" w:ascii="Times New Roman" w:hAnsi="Times New Roman" w:eastAsia="方正仿宋_GB2312" w:cs="Times New Roman"/>
          <w:b w:val="0"/>
          <w:bCs/>
          <w:snapToGrid w:val="0"/>
          <w:color w:val="000000" w:themeColor="text1"/>
          <w:spacing w:val="6"/>
          <w:kern w:val="0"/>
          <w:sz w:val="24"/>
          <w:szCs w:val="24"/>
          <w:highlight w:val="none"/>
          <w:u w:val="single"/>
          <w14:textFill>
            <w14:solidFill>
              <w14:schemeClr w14:val="tx1"/>
            </w14:solidFill>
          </w14:textFill>
        </w:rPr>
        <w:t>1104</w:t>
      </w:r>
      <w:r>
        <w:rPr>
          <w:rFonts w:hint="default" w:ascii="Times New Roman" w:hAnsi="Times New Roman" w:eastAsia="方正仿宋_GB2312" w:cs="Times New Roman"/>
          <w:b w:val="0"/>
          <w:bCs/>
          <w:snapToGrid w:val="0"/>
          <w:color w:val="000000" w:themeColor="text1"/>
          <w:spacing w:val="6"/>
          <w:kern w:val="0"/>
          <w:sz w:val="24"/>
          <w:szCs w:val="24"/>
          <w:highlight w:val="none"/>
          <w:u w:val="none"/>
          <w:lang w:val="en-US" w:eastAsia="zh-CN"/>
          <w14:textFill>
            <w14:solidFill>
              <w14:schemeClr w14:val="tx1"/>
            </w14:solidFill>
          </w14:textFill>
        </w:rPr>
        <w:t>个</w:t>
      </w:r>
      <w:r>
        <w:rPr>
          <w:rFonts w:hint="default" w:ascii="Times New Roman" w:hAnsi="Times New Roman" w:eastAsia="方正仿宋_GB2312" w:cs="Times New Roman"/>
          <w:b w:val="0"/>
          <w:bCs/>
          <w:snapToGrid w:val="0"/>
          <w:color w:val="000000" w:themeColor="text1"/>
          <w:spacing w:val="6"/>
          <w:kern w:val="0"/>
          <w:sz w:val="24"/>
          <w:szCs w:val="24"/>
          <w:highlight w:val="none"/>
          <w14:textFill>
            <w14:solidFill>
              <w14:schemeClr w14:val="tx1"/>
            </w14:solidFill>
          </w14:textFill>
        </w:rPr>
        <w:t>，实际核算</w:t>
      </w:r>
      <w:r>
        <w:rPr>
          <w:rFonts w:hint="default" w:ascii="Times New Roman" w:hAnsi="Times New Roman" w:eastAsia="方正仿宋_GB2312" w:cs="Times New Roman"/>
          <w:b w:val="0"/>
          <w:bCs/>
          <w:snapToGrid w:val="0"/>
          <w:color w:val="000000" w:themeColor="text1"/>
          <w:spacing w:val="6"/>
          <w:kern w:val="0"/>
          <w:sz w:val="24"/>
          <w:szCs w:val="24"/>
          <w:highlight w:val="none"/>
          <w:u w:val="single"/>
          <w:lang w:val="en-US" w:eastAsia="zh-CN"/>
          <w14:textFill>
            <w14:solidFill>
              <w14:schemeClr w14:val="tx1"/>
            </w14:solidFill>
          </w14:textFill>
        </w:rPr>
        <w:t>986</w:t>
      </w:r>
      <w:r>
        <w:rPr>
          <w:rFonts w:hint="default" w:ascii="Times New Roman" w:hAnsi="Times New Roman" w:eastAsia="方正仿宋_GB2312" w:cs="Times New Roman"/>
          <w:b w:val="0"/>
          <w:bCs/>
          <w:snapToGrid w:val="0"/>
          <w:color w:val="000000" w:themeColor="text1"/>
          <w:spacing w:val="6"/>
          <w:kern w:val="0"/>
          <w:sz w:val="24"/>
          <w:szCs w:val="24"/>
          <w:highlight w:val="none"/>
          <w:lang w:val="en-US" w:eastAsia="zh-CN"/>
          <w14:textFill>
            <w14:solidFill>
              <w14:schemeClr w14:val="tx1"/>
            </w14:solidFill>
          </w14:textFill>
        </w:rPr>
        <w:t>个</w:t>
      </w:r>
      <w:r>
        <w:rPr>
          <w:rFonts w:hint="default" w:ascii="Times New Roman" w:hAnsi="Times New Roman" w:eastAsia="方正仿宋_GB2312" w:cs="Times New Roman"/>
          <w:b w:val="0"/>
          <w:bCs/>
          <w:snapToGrid w:val="0"/>
          <w:color w:val="000000" w:themeColor="text1"/>
          <w:spacing w:val="6"/>
          <w:kern w:val="0"/>
          <w:sz w:val="24"/>
          <w:szCs w:val="24"/>
          <w:highlight w:val="none"/>
          <w14:textFill>
            <w14:solidFill>
              <w14:schemeClr w14:val="tx1"/>
            </w14:solidFill>
          </w14:textFill>
        </w:rPr>
        <w:t>，核算户数比例为</w:t>
      </w:r>
      <w:r>
        <w:rPr>
          <w:rFonts w:hint="default" w:ascii="Times New Roman" w:hAnsi="Times New Roman" w:eastAsia="方正仿宋_GB2312" w:cs="Times New Roman"/>
          <w:b w:val="0"/>
          <w:bCs/>
          <w:snapToGrid w:val="0"/>
          <w:color w:val="000000" w:themeColor="text1"/>
          <w:spacing w:val="6"/>
          <w:kern w:val="0"/>
          <w:sz w:val="24"/>
          <w:szCs w:val="24"/>
          <w:highlight w:val="none"/>
          <w:u w:val="single"/>
          <w:lang w:val="en-US" w:eastAsia="zh-CN"/>
          <w14:textFill>
            <w14:solidFill>
              <w14:schemeClr w14:val="tx1"/>
            </w14:solidFill>
          </w14:textFill>
        </w:rPr>
        <w:t>89.31</w:t>
      </w:r>
      <w:r>
        <w:rPr>
          <w:rFonts w:hint="default" w:ascii="Times New Roman" w:hAnsi="Times New Roman" w:eastAsia="方正仿宋_GB2312" w:cs="Times New Roman"/>
          <w:b w:val="0"/>
          <w:bCs/>
          <w:snapToGrid w:val="0"/>
          <w:color w:val="000000" w:themeColor="text1"/>
          <w:spacing w:val="6"/>
          <w:kern w:val="0"/>
          <w:sz w:val="24"/>
          <w:szCs w:val="24"/>
          <w:highlight w:val="none"/>
          <w:u w:val="single"/>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highlight w:val="none"/>
          <w14:textFill>
            <w14:solidFill>
              <w14:schemeClr w14:val="tx1"/>
            </w14:solidFill>
          </w14:textFill>
        </w:rPr>
        <w:t>。</w:t>
      </w:r>
    </w:p>
    <w:p w14:paraId="0656943E">
      <w:pPr>
        <w:widowControl/>
        <w:kinsoku w:val="0"/>
        <w:autoSpaceDE w:val="0"/>
        <w:autoSpaceDN w:val="0"/>
        <w:adjustRightInd w:val="0"/>
        <w:snapToGrid w:val="0"/>
        <w:spacing w:before="156" w:beforeLines="50" w:line="240" w:lineRule="auto"/>
        <w:ind w:firstLine="504"/>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经核算，报告年度内</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投融资活动中</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贷款</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资产碳排放合计为</w:t>
      </w:r>
      <w:r>
        <w:rPr>
          <w:rFonts w:hint="default" w:ascii="Times New Roman" w:hAnsi="Times New Roman" w:eastAsia="方正仿宋_GB2312" w:cs="Times New Roman"/>
          <w:color w:val="000000"/>
          <w:spacing w:val="6"/>
          <w:sz w:val="24"/>
          <w:u w:val="single" w:color="auto"/>
        </w:rPr>
        <w:t xml:space="preserve">69,598.81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e，其中项目贷款产生的碳排放</w:t>
      </w:r>
      <w:r>
        <w:rPr>
          <w:rFonts w:hint="default" w:ascii="Times New Roman" w:hAnsi="Times New Roman" w:eastAsia="方正仿宋_GB2312" w:cs="Times New Roman"/>
          <w:color w:val="000000"/>
          <w:spacing w:val="6"/>
          <w:sz w:val="24"/>
          <w:u w:val="single" w:color="auto"/>
        </w:rPr>
        <w:t xml:space="preserve">7,427.62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e，非项目贷款产生的碳排放</w:t>
      </w:r>
      <w:r>
        <w:rPr>
          <w:rFonts w:hint="default" w:ascii="Times New Roman" w:hAnsi="Times New Roman" w:eastAsia="方正仿宋_GB2312" w:cs="Times New Roman"/>
          <w:color w:val="000000"/>
          <w:spacing w:val="6"/>
          <w:sz w:val="24"/>
          <w:u w:val="single" w:color="auto"/>
        </w:rPr>
        <w:t xml:space="preserve">62,171.19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w:t>
      </w:r>
    </w:p>
    <w:p w14:paraId="10E6A3C9">
      <w:pPr>
        <w:keepNext w:val="0"/>
        <w:keepLines w:val="0"/>
        <w:pageBreakBefore w:val="0"/>
        <w:widowControl/>
        <w:kinsoku w:val="0"/>
        <w:wordWrap/>
        <w:overflowPunct/>
        <w:topLinePunct w:val="0"/>
        <w:autoSpaceDE w:val="0"/>
        <w:autoSpaceDN w:val="0"/>
        <w:bidi w:val="0"/>
        <w:adjustRightInd w:val="0"/>
        <w:snapToGrid w:val="0"/>
        <w:spacing w:before="0" w:beforeLines="0" w:line="240" w:lineRule="auto"/>
        <w:ind w:firstLine="0" w:firstLineChars="0"/>
        <w:jc w:val="center"/>
        <w:textAlignment w:val="baseline"/>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lang w:val="en-US" w:eastAsia="zh-CN"/>
          <w14:textFill>
            <w14:solidFill>
              <w14:schemeClr w14:val="tx1"/>
            </w14:solidFill>
          </w14:textFill>
        </w:rPr>
        <w:t>贷款</w:t>
      </w: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资产碳排放</w:t>
      </w:r>
    </w:p>
    <w:tbl>
      <w:tblPr>
        <w:tblStyle w:val="22"/>
        <w:tblW w:w="9780" w:type="dxa"/>
        <w:jc w:val="center"/>
        <w:tblLayout w:type="autofit"/>
        <w:tblCellMar>
          <w:top w:w="0" w:type="dxa"/>
          <w:left w:w="108" w:type="dxa"/>
          <w:bottom w:w="0" w:type="dxa"/>
          <w:right w:w="108" w:type="dxa"/>
        </w:tblCellMar>
      </w:tblPr>
      <w:tblGrid>
        <w:gridCol w:w="2344"/>
        <w:gridCol w:w="4426"/>
        <w:gridCol w:w="1573"/>
        <w:gridCol w:w="1437"/>
      </w:tblGrid>
      <w:tr w14:paraId="30A08FEF">
        <w:tblPrEx>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C1C9C90">
            <w:pPr>
              <w:snapToGrid w:val="0"/>
              <w:spacing w:before="0" w:beforeLines="0"/>
              <w:ind w:left="0" w:leftChars="0" w:right="0" w:rightChars="0" w:firstLine="0" w:firstLineChars="0"/>
              <w:jc w:val="center"/>
              <w:rPr>
                <w:rFonts w:hint="default" w:ascii="Times New Roman" w:hAnsi="Times New Roman" w:eastAsia="方正仿宋_GB2312" w:cs="Times New Roman"/>
                <w:b/>
                <w:bCs/>
                <w:sz w:val="20"/>
                <w:szCs w:val="28"/>
              </w:rPr>
            </w:pPr>
            <w:r>
              <w:rPr>
                <w:rFonts w:hint="default" w:ascii="Times New Roman" w:hAnsi="Times New Roman" w:eastAsia="方正仿宋_GB2312" w:cs="Times New Roman"/>
                <w:b/>
                <w:bCs/>
                <w:sz w:val="20"/>
                <w:szCs w:val="28"/>
              </w:rPr>
              <w:t>资产类别</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26CB226">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指标名称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9E1DFDF">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单位</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15C90A1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i w:val="0"/>
                <w:iCs w:val="0"/>
                <w:color w:val="000000" w:themeColor="text1"/>
                <w:kern w:val="0"/>
                <w:sz w:val="20"/>
                <w:szCs w:val="20"/>
                <w:u w:val="none"/>
                <w:lang w:val="en-US" w:eastAsia="zh-CN" w:bidi="ar"/>
                <w14:textFill>
                  <w14:solidFill>
                    <w14:schemeClr w14:val="tx1"/>
                  </w14:solidFill>
                </w14:textFill>
              </w:rPr>
              <w:t>2025</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年</w:t>
            </w:r>
          </w:p>
        </w:tc>
      </w:tr>
      <w:tr w14:paraId="180C9C98">
        <w:tblPrEx>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39DE0A74">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项目贷款</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B82F328">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投融资碳排放量</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54BC9A8">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FF0000"/>
                <w:kern w:val="0"/>
                <w:sz w:val="20"/>
                <w:szCs w:val="20"/>
                <w:lang w:val="en-US"/>
              </w:rPr>
            </w:pPr>
            <w:r>
              <w:rPr>
                <w:rFonts w:hint="default" w:ascii="Times New Roman" w:hAnsi="Times New Roman" w:eastAsia="方正仿宋_GB2312" w:cs="Times New Roman"/>
                <w:b w:val="0"/>
                <w:bCs/>
                <w:color w:val="000000"/>
                <w:kern w:val="0"/>
                <w:sz w:val="20"/>
                <w:szCs w:val="20"/>
                <w:lang w:val="en-US" w:eastAsia="zh-CN"/>
              </w:rPr>
              <w:t>tCO2e</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742F4B6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FF0000"/>
                <w:kern w:val="0"/>
                <w:sz w:val="20"/>
                <w:szCs w:val="20"/>
              </w:rPr>
            </w:pPr>
            <w:r>
              <w:rPr>
                <w:rFonts w:hint="default" w:ascii="Times New Roman" w:hAnsi="Times New Roman" w:eastAsia="方正仿宋_GB2312" w:cs="Times New Roman"/>
                <w:sz w:val="20"/>
                <w:szCs w:val="28"/>
              </w:rPr>
              <w:t>7,427.62</w:t>
            </w:r>
          </w:p>
        </w:tc>
      </w:tr>
      <w:tr w14:paraId="4C5941D5">
        <w:tblPrEx>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38DE3F3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项目贷款</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9C989F1">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纳入碳排放核算的贷款月均融资余额</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2E36D9B">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万元</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21987FC4">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8"/>
              </w:rPr>
              <w:t>177,324.05</w:t>
            </w:r>
          </w:p>
        </w:tc>
      </w:tr>
      <w:tr w14:paraId="7DF2ECD5">
        <w:tblPrEx>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7C2E88D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项目贷款</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4BAE823">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投融资碳排放强度*</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DB4C87E">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FF0000"/>
                <w:kern w:val="0"/>
                <w:sz w:val="20"/>
                <w:szCs w:val="20"/>
                <w:lang w:val="en-US"/>
              </w:rPr>
            </w:pPr>
            <w:r>
              <w:rPr>
                <w:rFonts w:hint="default" w:ascii="Times New Roman" w:hAnsi="Times New Roman" w:eastAsia="方正仿宋_GB2312" w:cs="Times New Roman"/>
                <w:b w:val="0"/>
                <w:bCs/>
                <w:color w:val="000000"/>
                <w:kern w:val="0"/>
                <w:sz w:val="20"/>
                <w:szCs w:val="20"/>
                <w:lang w:val="en-US" w:eastAsia="zh-CN"/>
              </w:rPr>
              <w:t>tCO2e/万元</w:t>
            </w:r>
          </w:p>
        </w:tc>
        <w:tc>
          <w:tcPr>
            <w:tcW w:w="14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A3B40D">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FF0000"/>
                <w:kern w:val="0"/>
                <w:sz w:val="20"/>
                <w:szCs w:val="20"/>
                <w:highlight w:val="none"/>
                <w:lang w:val="en-US" w:eastAsia="zh-CN"/>
              </w:rPr>
            </w:pPr>
            <w:r>
              <w:rPr>
                <w:rFonts w:hint="default" w:ascii="Times New Roman" w:hAnsi="Times New Roman" w:eastAsia="方正仿宋_GB2312" w:cs="Times New Roman"/>
                <w:sz w:val="20"/>
                <w:szCs w:val="28"/>
              </w:rPr>
              <w:t>0.0419</w:t>
            </w:r>
          </w:p>
        </w:tc>
      </w:tr>
      <w:tr w14:paraId="14BBF8A0">
        <w:tblPrEx>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01A51534">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非项目贷款</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A91BD0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投融资碳排放量</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3594DD9">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tCO2e</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67344BEA">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highlight w:val="none"/>
                <w:lang w:val="en-US" w:eastAsia="zh-CN"/>
              </w:rPr>
            </w:pPr>
            <w:r>
              <w:rPr>
                <w:rFonts w:hint="default" w:ascii="Times New Roman" w:hAnsi="Times New Roman" w:eastAsia="方正仿宋_GB2312" w:cs="Times New Roman"/>
                <w:sz w:val="20"/>
                <w:szCs w:val="28"/>
              </w:rPr>
              <w:t>62,171.19</w:t>
            </w:r>
          </w:p>
        </w:tc>
      </w:tr>
      <w:tr w14:paraId="3D7BE68E">
        <w:tblPrEx>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53BA359B">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非项目贷款</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2951C25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纳入碳排放核算的贷款月均融资余额</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56DEC8F">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万元</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6BFD36B0">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8"/>
              </w:rPr>
              <w:t>732,272.29</w:t>
            </w:r>
          </w:p>
        </w:tc>
      </w:tr>
      <w:tr w14:paraId="7EE88DE1">
        <w:tblPrEx>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29B1F689">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非项目贷款</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4FA44607">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投融资碳排放强度*</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FEC679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tCO2e/万元</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361762B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8"/>
              </w:rPr>
              <w:t>0.0849</w:t>
            </w:r>
          </w:p>
        </w:tc>
      </w:tr>
      <w:tr w14:paraId="4039FEE1">
        <w:tblPrEx>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noWrap/>
            <w:vAlign w:val="center"/>
          </w:tcPr>
          <w:p w14:paraId="71D36FE7">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kern w:val="0"/>
                <w:sz w:val="20"/>
                <w:szCs w:val="20"/>
                <w:lang w:val="en-US" w:eastAsia="zh-CN"/>
              </w:rPr>
              <w:t>合计（贷款资产）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04E9A7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kern w:val="0"/>
                <w:sz w:val="20"/>
                <w:szCs w:val="20"/>
                <w:lang w:val="en-US" w:eastAsia="zh-CN"/>
              </w:rPr>
              <w:t>投融资碳排放量</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8746FB9">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bCs/>
                <w:color w:val="000000"/>
                <w:kern w:val="0"/>
                <w:sz w:val="20"/>
                <w:szCs w:val="20"/>
                <w:lang w:val="en-US" w:eastAsia="zh-CN"/>
              </w:rPr>
              <w:t>tCO2e</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5B1C3875">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sz w:val="20"/>
                <w:szCs w:val="28"/>
              </w:rPr>
              <w:t>69,598.81</w:t>
            </w:r>
          </w:p>
        </w:tc>
      </w:tr>
      <w:tr w14:paraId="2C08A6F9">
        <w:tblPrEx>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noWrap/>
            <w:vAlign w:val="center"/>
          </w:tcPr>
          <w:p w14:paraId="4E30E90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kern w:val="0"/>
                <w:sz w:val="20"/>
                <w:szCs w:val="20"/>
                <w:lang w:val="en-US" w:eastAsia="zh-CN"/>
              </w:rPr>
              <w:t>合计（信贷资产）</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165EEAA">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kern w:val="0"/>
                <w:sz w:val="20"/>
                <w:szCs w:val="20"/>
                <w:lang w:val="en-US" w:eastAsia="zh-CN"/>
              </w:rPr>
              <w:t>纳入碳排放核算的贷款月均融资余额</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D120D2F">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bCs/>
                <w:color w:val="000000"/>
                <w:kern w:val="0"/>
                <w:sz w:val="20"/>
                <w:szCs w:val="20"/>
                <w:lang w:val="en-US" w:eastAsia="zh-CN"/>
              </w:rPr>
              <w:t>万元</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7725F32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sz w:val="20"/>
                <w:szCs w:val="28"/>
              </w:rPr>
              <w:t>909,596.34</w:t>
            </w:r>
          </w:p>
        </w:tc>
      </w:tr>
      <w:tr w14:paraId="5F6B7F73">
        <w:tblPrEx>
          <w:tblCellMar>
            <w:top w:w="0" w:type="dxa"/>
            <w:left w:w="108" w:type="dxa"/>
            <w:bottom w:w="0" w:type="dxa"/>
            <w:right w:w="108" w:type="dxa"/>
          </w:tblCellMar>
        </w:tblPrEx>
        <w:trPr>
          <w:trHeight w:val="0" w:hRule="atLeast"/>
          <w:jc w:val="center"/>
        </w:trPr>
        <w:tc>
          <w:tcPr>
            <w:tcW w:w="2344" w:type="dxa"/>
            <w:vMerge w:val="continue"/>
            <w:tcBorders>
              <w:top w:val="single" w:color="000000" w:sz="4" w:space="0"/>
              <w:left w:val="single" w:color="000000" w:sz="4" w:space="0"/>
              <w:bottom w:val="single" w:color="000000" w:sz="4" w:space="0"/>
              <w:right w:val="single" w:color="000000" w:sz="4" w:space="0"/>
            </w:tcBorders>
            <w:noWrap/>
            <w:vAlign w:val="center"/>
          </w:tcPr>
          <w:p w14:paraId="3066CC8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kern w:val="0"/>
                <w:sz w:val="20"/>
                <w:szCs w:val="20"/>
                <w:lang w:val="en-US" w:eastAsia="zh-CN"/>
              </w:rPr>
              <w:t>合计（信贷资产）</w:t>
            </w:r>
          </w:p>
        </w:tc>
        <w:tc>
          <w:tcPr>
            <w:tcW w:w="4426" w:type="dxa"/>
            <w:tcBorders>
              <w:top w:val="single" w:color="000000" w:sz="4" w:space="0"/>
              <w:left w:val="single" w:color="000000" w:sz="4" w:space="0"/>
              <w:bottom w:val="single" w:color="000000" w:sz="4" w:space="0"/>
              <w:right w:val="single" w:color="000000" w:sz="4" w:space="0"/>
            </w:tcBorders>
            <w:noWrap w:val="0"/>
            <w:vAlign w:val="center"/>
          </w:tcPr>
          <w:p w14:paraId="2D59CFC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kern w:val="0"/>
                <w:sz w:val="20"/>
                <w:szCs w:val="20"/>
                <w:lang w:val="en-US" w:eastAsia="zh-CN"/>
              </w:rPr>
              <w:t>投融资碳排放强度*</w:t>
            </w:r>
          </w:p>
        </w:tc>
        <w:tc>
          <w:tcPr>
            <w:tcW w:w="1573" w:type="dxa"/>
            <w:tcBorders>
              <w:top w:val="single" w:color="000000" w:sz="4" w:space="0"/>
              <w:left w:val="single" w:color="000000" w:sz="4" w:space="0"/>
              <w:bottom w:val="single" w:color="000000" w:sz="4" w:space="0"/>
              <w:right w:val="single" w:color="000000" w:sz="4" w:space="0"/>
            </w:tcBorders>
            <w:noWrap w:val="0"/>
            <w:vAlign w:val="center"/>
          </w:tcPr>
          <w:p w14:paraId="3AF653A0">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bCs/>
                <w:color w:val="000000"/>
                <w:kern w:val="0"/>
                <w:sz w:val="20"/>
                <w:szCs w:val="20"/>
                <w:lang w:val="en-US" w:eastAsia="zh-CN"/>
              </w:rPr>
              <w:t>tCO2e/万元</w:t>
            </w:r>
          </w:p>
        </w:tc>
        <w:tc>
          <w:tcPr>
            <w:tcW w:w="1437" w:type="dxa"/>
            <w:tcBorders>
              <w:top w:val="single" w:color="000000" w:sz="4" w:space="0"/>
              <w:left w:val="single" w:color="000000" w:sz="4" w:space="0"/>
              <w:bottom w:val="single" w:color="000000" w:sz="4" w:space="0"/>
              <w:right w:val="single" w:color="000000" w:sz="4" w:space="0"/>
            </w:tcBorders>
            <w:noWrap w:val="0"/>
            <w:vAlign w:val="center"/>
          </w:tcPr>
          <w:p w14:paraId="353828CD">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sz w:val="20"/>
                <w:szCs w:val="28"/>
              </w:rPr>
              <w:t>0.0765</w:t>
            </w:r>
          </w:p>
        </w:tc>
      </w:tr>
    </w:tbl>
    <w:p w14:paraId="681769C7">
      <w:pPr>
        <w:pStyle w:val="5"/>
        <w:bidi w:val="0"/>
        <w:rPr>
          <w:rFonts w:hint="default" w:ascii="Times New Roman" w:hAnsi="Times New Roman" w:eastAsia="方正仿宋_GB2312" w:cs="Times New Roman"/>
          <w:b w:val="0"/>
          <w:bCs/>
          <w:lang w:val="en-US" w:eastAsia="zh-CN"/>
        </w:rPr>
      </w:pPr>
      <w:bookmarkStart w:id="33" w:name="_Toc11959"/>
      <w:bookmarkStart w:id="34" w:name="_Toc456"/>
      <w:r>
        <w:rPr>
          <w:rFonts w:hint="default" w:ascii="Times New Roman" w:hAnsi="Times New Roman" w:eastAsia="方正仿宋_GB2312" w:cs="Times New Roman"/>
          <w:b w:val="0"/>
          <w:bCs/>
          <w:lang w:val="en-US" w:eastAsia="zh-CN"/>
        </w:rPr>
        <w:t>7.2债券资产</w:t>
      </w:r>
      <w:bookmarkEnd w:id="33"/>
      <w:bookmarkEnd w:id="34"/>
    </w:p>
    <w:p w14:paraId="365E1A23">
      <w:pPr>
        <w:widowControl/>
        <w:kinsoku w:val="0"/>
        <w:autoSpaceDE w:val="0"/>
        <w:autoSpaceDN w:val="0"/>
        <w:adjustRightInd w:val="0"/>
        <w:snapToGrid w:val="0"/>
        <w:spacing w:before="156" w:beforeLines="50" w:line="240" w:lineRule="auto"/>
        <w:ind w:firstLine="504"/>
        <w:textAlignment w:val="baseline"/>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本行2025年度无债券资产碳排放基础数据。</w:t>
      </w:r>
    </w:p>
    <w:p w14:paraId="062981B7">
      <w:pPr>
        <w:pStyle w:val="5"/>
        <w:bidi w:val="0"/>
        <w:rPr>
          <w:rFonts w:hint="default" w:ascii="Times New Roman" w:hAnsi="Times New Roman" w:eastAsia="方正仿宋_GB2312" w:cs="Times New Roman"/>
          <w:b w:val="0"/>
          <w:bCs/>
          <w:lang w:val="en-US" w:eastAsia="zh-CN"/>
        </w:rPr>
      </w:pPr>
      <w:bookmarkStart w:id="35" w:name="_Toc31312"/>
      <w:bookmarkStart w:id="36" w:name="_Toc11486"/>
      <w:r>
        <w:rPr>
          <w:rFonts w:hint="default" w:ascii="Times New Roman" w:hAnsi="Times New Roman" w:eastAsia="方正仿宋_GB2312" w:cs="Times New Roman"/>
          <w:b w:val="0"/>
          <w:bCs/>
          <w:lang w:val="en-US" w:eastAsia="zh-CN"/>
        </w:rPr>
        <w:t>7.3投融资（总计）</w:t>
      </w:r>
      <w:bookmarkEnd w:id="35"/>
      <w:bookmarkEnd w:id="36"/>
    </w:p>
    <w:p w14:paraId="03600560">
      <w:pPr>
        <w:widowControl/>
        <w:kinsoku w:val="0"/>
        <w:autoSpaceDE w:val="0"/>
        <w:autoSpaceDN w:val="0"/>
        <w:adjustRightInd w:val="0"/>
        <w:snapToGrid w:val="0"/>
        <w:spacing w:before="156" w:beforeLines="50" w:line="240" w:lineRule="auto"/>
        <w:ind w:firstLine="504"/>
        <w:textAlignment w:val="baseline"/>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报告年度内</w:t>
      </w:r>
      <w:r>
        <w:rPr>
          <w:rFonts w:hint="default" w:ascii="Times New Roman" w:hAnsi="Times New Roman" w:eastAsia="方正仿宋_GB2312" w:cs="Times New Roman"/>
          <w:b w:val="0"/>
          <w:bCs/>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贷款</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资产产生的碳排放</w:t>
      </w:r>
      <w:r>
        <w:rPr>
          <w:rFonts w:hint="default" w:ascii="Times New Roman" w:hAnsi="Times New Roman" w:eastAsia="方正仿宋_GB2312" w:cs="Times New Roman"/>
          <w:color w:val="000000"/>
          <w:spacing w:val="6"/>
          <w:sz w:val="24"/>
          <w:u w:val="single" w:color="auto"/>
        </w:rPr>
        <w:t>69,598.81</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e，碳排放强度为</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0.0765</w:t>
      </w:r>
      <w:r>
        <w:rPr>
          <w:rFonts w:hint="default" w:ascii="Times New Roman" w:hAnsi="Times New Roman" w:eastAsia="方正仿宋_GB2312" w:cs="Times New Roman"/>
          <w:b w:val="0"/>
          <w:bCs/>
          <w:snapToGrid w:val="0"/>
          <w:color w:val="000000" w:themeColor="text1"/>
          <w:spacing w:val="6"/>
          <w:kern w:val="0"/>
          <w:sz w:val="24"/>
          <w:szCs w:val="24"/>
          <w:u w:val="single"/>
          <w14:textFill>
            <w14:solidFill>
              <w14:schemeClr w14:val="tx1"/>
            </w14:solidFill>
          </w14:textFill>
        </w:rPr>
        <w:t xml:space="preserve"> </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e/万元；债券资产产生的碳排放</w:t>
      </w:r>
      <w:r>
        <w:rPr>
          <w:rFonts w:hint="default" w:ascii="Times New Roman" w:hAnsi="Times New Roman" w:eastAsia="方正仿宋_GB2312" w:cs="Times New Roman"/>
          <w:b w:val="0"/>
          <w:bCs/>
          <w:color w:val="000000"/>
          <w:spacing w:val="6"/>
          <w:sz w:val="24"/>
          <w:u w:val="single" w:color="auto"/>
          <w:lang w:val="en-US" w:eastAsia="zh-CN"/>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e，碳排放强度为</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e/万元；投融资活动总碳排放量</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69,598.81</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e，碳排放强度为</w:t>
      </w:r>
      <w:r>
        <w:rPr>
          <w:rFonts w:hint="default" w:ascii="Times New Roman" w:hAnsi="Times New Roman" w:eastAsia="方正仿宋_GB2312" w:cs="Times New Roman"/>
          <w:b w:val="0"/>
          <w:bCs/>
          <w:snapToGrid w:val="0"/>
          <w:color w:val="000000" w:themeColor="text1"/>
          <w:spacing w:val="6"/>
          <w:kern w:val="0"/>
          <w:sz w:val="24"/>
          <w:szCs w:val="24"/>
          <w:u w:val="single"/>
          <w14:textFill>
            <w14:solidFill>
              <w14:schemeClr w14:val="tx1"/>
            </w14:solidFill>
          </w14:textFill>
        </w:rPr>
        <w:t>0.0765</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w:t>
      </w:r>
      <w:r>
        <w:rPr>
          <w:rFonts w:hint="default" w:ascii="Times New Roman" w:hAnsi="Times New Roman" w:eastAsia="方正仿宋_GB2312" w:cs="Times New Roman"/>
          <w:b w:val="0"/>
          <w:bCs/>
          <w:snapToGrid w:val="0"/>
          <w:color w:val="000000" w:themeColor="text1"/>
          <w:spacing w:val="6"/>
          <w:kern w:val="0"/>
          <w:sz w:val="24"/>
          <w:szCs w:val="24"/>
          <w:vertAlign w:val="subscript"/>
          <w14:textFill>
            <w14:solidFill>
              <w14:schemeClr w14:val="tx1"/>
            </w14:solidFill>
          </w14:textFill>
        </w:rPr>
        <w:t>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e/万元。</w:t>
      </w:r>
    </w:p>
    <w:p w14:paraId="7483A6A6">
      <w:pPr>
        <w:widowControl/>
        <w:spacing w:line="240" w:lineRule="auto"/>
        <w:ind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投融资（</w:t>
      </w:r>
      <w:r>
        <w:rPr>
          <w:rFonts w:hint="default" w:ascii="Times New Roman" w:hAnsi="Times New Roman" w:eastAsia="方正仿宋_GB2312" w:cs="Times New Roman"/>
          <w:b w:val="0"/>
          <w:bCs/>
          <w:color w:val="000000" w:themeColor="text1"/>
          <w:kern w:val="0"/>
          <w:sz w:val="20"/>
          <w:szCs w:val="20"/>
          <w:lang w:val="en-US" w:eastAsia="zh-CN"/>
          <w14:textFill>
            <w14:solidFill>
              <w14:schemeClr w14:val="tx1"/>
            </w14:solidFill>
          </w14:textFill>
        </w:rPr>
        <w:t>贷款</w:t>
      </w: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+债券）碳排放</w:t>
      </w:r>
    </w:p>
    <w:tbl>
      <w:tblPr>
        <w:tblStyle w:val="22"/>
        <w:tblW w:w="9786" w:type="dxa"/>
        <w:jc w:val="center"/>
        <w:tblLayout w:type="autofit"/>
        <w:tblCellMar>
          <w:top w:w="0" w:type="dxa"/>
          <w:left w:w="108" w:type="dxa"/>
          <w:bottom w:w="0" w:type="dxa"/>
          <w:right w:w="108" w:type="dxa"/>
        </w:tblCellMar>
      </w:tblPr>
      <w:tblGrid>
        <w:gridCol w:w="1219"/>
        <w:gridCol w:w="5918"/>
        <w:gridCol w:w="1288"/>
        <w:gridCol w:w="1361"/>
      </w:tblGrid>
      <w:tr w14:paraId="2550DB82">
        <w:tblPrEx>
          <w:tblCellMar>
            <w:top w:w="0" w:type="dxa"/>
            <w:left w:w="108" w:type="dxa"/>
            <w:bottom w:w="0" w:type="dxa"/>
            <w:right w:w="108" w:type="dxa"/>
          </w:tblCellMar>
        </w:tblPrEx>
        <w:trPr>
          <w:trHeight w:val="0" w:hRule="atLeast"/>
          <w:tblHeader/>
          <w:jc w:val="center"/>
        </w:trPr>
        <w:tc>
          <w:tcPr>
            <w:tcW w:w="1219" w:type="dxa"/>
            <w:tcBorders>
              <w:top w:val="single" w:color="000000" w:sz="4" w:space="0"/>
              <w:left w:val="single" w:color="000000" w:sz="4" w:space="0"/>
              <w:bottom w:val="single" w:color="000000" w:sz="4" w:space="0"/>
              <w:right w:val="single" w:color="000000" w:sz="4" w:space="0"/>
            </w:tcBorders>
            <w:noWrap/>
            <w:vAlign w:val="center"/>
          </w:tcPr>
          <w:p w14:paraId="14E1EAD6">
            <w:pPr>
              <w:snapToGrid w:val="0"/>
              <w:spacing w:before="0" w:beforeLines="0"/>
              <w:ind w:left="0" w:leftChars="0" w:right="0" w:rightChars="0" w:firstLine="0" w:firstLineChars="0"/>
              <w:jc w:val="center"/>
              <w:rPr>
                <w:rFonts w:hint="default" w:ascii="Times New Roman" w:hAnsi="Times New Roman" w:eastAsia="方正仿宋_GB2312" w:cs="Times New Roman"/>
                <w:b/>
                <w:bCs/>
                <w:sz w:val="20"/>
                <w:szCs w:val="20"/>
              </w:rPr>
            </w:pPr>
            <w:r>
              <w:rPr>
                <w:rFonts w:hint="default" w:ascii="Times New Roman" w:hAnsi="Times New Roman" w:eastAsia="方正仿宋_GB2312" w:cs="Times New Roman"/>
                <w:b/>
                <w:bCs/>
                <w:sz w:val="20"/>
                <w:szCs w:val="20"/>
              </w:rPr>
              <w:t>资产类别</w:t>
            </w:r>
          </w:p>
        </w:tc>
        <w:tc>
          <w:tcPr>
            <w:tcW w:w="5917" w:type="dxa"/>
            <w:tcBorders>
              <w:top w:val="single" w:color="000000" w:sz="4" w:space="0"/>
              <w:left w:val="single" w:color="000000" w:sz="4" w:space="0"/>
              <w:bottom w:val="single" w:color="000000" w:sz="4" w:space="0"/>
              <w:right w:val="single" w:color="000000" w:sz="4" w:space="0"/>
            </w:tcBorders>
            <w:noWrap w:val="0"/>
            <w:vAlign w:val="center"/>
          </w:tcPr>
          <w:p w14:paraId="585767A1">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指标名称</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70FA90A1">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单位</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50CC6808">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i w:val="0"/>
                <w:iCs w:val="0"/>
                <w:color w:val="000000" w:themeColor="text1"/>
                <w:kern w:val="0"/>
                <w:sz w:val="20"/>
                <w:szCs w:val="20"/>
                <w:u w:val="none"/>
                <w:lang w:val="en-US" w:eastAsia="zh-CN" w:bidi="ar"/>
                <w14:textFill>
                  <w14:solidFill>
                    <w14:schemeClr w14:val="tx1"/>
                  </w14:solidFill>
                </w14:textFill>
              </w:rPr>
              <w:t>2025</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年</w:t>
            </w:r>
          </w:p>
        </w:tc>
      </w:tr>
      <w:tr w14:paraId="563C0921">
        <w:tblPrEx>
          <w:tblCellMar>
            <w:top w:w="0" w:type="dxa"/>
            <w:left w:w="108" w:type="dxa"/>
            <w:bottom w:w="0" w:type="dxa"/>
            <w:right w:w="108" w:type="dxa"/>
          </w:tblCellMar>
        </w:tblPrEx>
        <w:trPr>
          <w:trHeight w:val="0" w:hRule="atLeast"/>
          <w:jc w:val="center"/>
        </w:trPr>
        <w:tc>
          <w:tcPr>
            <w:tcW w:w="1219" w:type="dxa"/>
            <w:vMerge w:val="restart"/>
            <w:tcBorders>
              <w:top w:val="single" w:color="000000" w:sz="4" w:space="0"/>
              <w:left w:val="single" w:color="000000" w:sz="4" w:space="0"/>
              <w:bottom w:val="single" w:color="000000" w:sz="4" w:space="0"/>
              <w:right w:val="single" w:color="000000" w:sz="4" w:space="0"/>
            </w:tcBorders>
            <w:noWrap/>
            <w:vAlign w:val="center"/>
          </w:tcPr>
          <w:p w14:paraId="31C681A8">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贷款资产</w:t>
            </w:r>
          </w:p>
        </w:tc>
        <w:tc>
          <w:tcPr>
            <w:tcW w:w="5917" w:type="dxa"/>
            <w:tcBorders>
              <w:top w:val="single" w:color="000000" w:sz="4" w:space="0"/>
              <w:left w:val="single" w:color="000000" w:sz="4" w:space="0"/>
              <w:bottom w:val="single" w:color="000000" w:sz="4" w:space="0"/>
              <w:right w:val="single" w:color="000000" w:sz="4" w:space="0"/>
            </w:tcBorders>
            <w:noWrap w:val="0"/>
            <w:vAlign w:val="center"/>
          </w:tcPr>
          <w:p w14:paraId="0DD0BDD3">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投融资碳排放量</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149866FA">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tCO2e</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5FBFECBF">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69,598.81</w:t>
            </w:r>
          </w:p>
        </w:tc>
      </w:tr>
      <w:tr w14:paraId="417D4CB7">
        <w:tblPrEx>
          <w:tblCellMar>
            <w:top w:w="0" w:type="dxa"/>
            <w:left w:w="108" w:type="dxa"/>
            <w:bottom w:w="0" w:type="dxa"/>
            <w:right w:w="108" w:type="dxa"/>
          </w:tblCellMar>
        </w:tblPrEx>
        <w:trPr>
          <w:trHeight w:val="0" w:hRule="atLeast"/>
          <w:jc w:val="center"/>
        </w:trPr>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1C2E61C3">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信贷资产</w:t>
            </w:r>
          </w:p>
        </w:tc>
        <w:tc>
          <w:tcPr>
            <w:tcW w:w="5917" w:type="dxa"/>
            <w:tcBorders>
              <w:top w:val="single" w:color="000000" w:sz="4" w:space="0"/>
              <w:left w:val="single" w:color="000000" w:sz="4" w:space="0"/>
              <w:bottom w:val="single" w:color="000000" w:sz="4" w:space="0"/>
              <w:right w:val="single" w:color="000000" w:sz="4" w:space="0"/>
            </w:tcBorders>
            <w:noWrap w:val="0"/>
            <w:vAlign w:val="center"/>
          </w:tcPr>
          <w:p w14:paraId="3FE2EB09">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纳入碳排放核算的贷款月均融资余额</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7F7E37D6">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万元</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37B10180">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909,596.34</w:t>
            </w:r>
          </w:p>
        </w:tc>
      </w:tr>
      <w:tr w14:paraId="086712CF">
        <w:tblPrEx>
          <w:tblCellMar>
            <w:top w:w="0" w:type="dxa"/>
            <w:left w:w="108" w:type="dxa"/>
            <w:bottom w:w="0" w:type="dxa"/>
            <w:right w:w="108" w:type="dxa"/>
          </w:tblCellMar>
        </w:tblPrEx>
        <w:trPr>
          <w:trHeight w:val="0" w:hRule="atLeast"/>
          <w:jc w:val="center"/>
        </w:trPr>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0610975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信贷资产</w:t>
            </w:r>
          </w:p>
        </w:tc>
        <w:tc>
          <w:tcPr>
            <w:tcW w:w="5917" w:type="dxa"/>
            <w:tcBorders>
              <w:top w:val="single" w:color="000000" w:sz="4" w:space="0"/>
              <w:left w:val="single" w:color="000000" w:sz="4" w:space="0"/>
              <w:bottom w:val="single" w:color="000000" w:sz="4" w:space="0"/>
              <w:right w:val="single" w:color="000000" w:sz="4" w:space="0"/>
            </w:tcBorders>
            <w:noWrap w:val="0"/>
            <w:vAlign w:val="center"/>
          </w:tcPr>
          <w:p w14:paraId="1CB642C3">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投融资碳排放强度*</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215DA4B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tCO2e/万元</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6E25BB57">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0.0765</w:t>
            </w:r>
          </w:p>
        </w:tc>
      </w:tr>
      <w:tr w14:paraId="71A98AD4">
        <w:tblPrEx>
          <w:tblCellMar>
            <w:top w:w="0" w:type="dxa"/>
            <w:left w:w="108" w:type="dxa"/>
            <w:bottom w:w="0" w:type="dxa"/>
            <w:right w:w="108" w:type="dxa"/>
          </w:tblCellMar>
        </w:tblPrEx>
        <w:trPr>
          <w:trHeight w:val="0" w:hRule="atLeast"/>
          <w:jc w:val="center"/>
        </w:trPr>
        <w:tc>
          <w:tcPr>
            <w:tcW w:w="1219" w:type="dxa"/>
            <w:vMerge w:val="restart"/>
            <w:tcBorders>
              <w:top w:val="single" w:color="000000" w:sz="4" w:space="0"/>
              <w:left w:val="single" w:color="000000" w:sz="4" w:space="0"/>
              <w:bottom w:val="single" w:color="000000" w:sz="4" w:space="0"/>
              <w:right w:val="single" w:color="000000" w:sz="4" w:space="0"/>
            </w:tcBorders>
            <w:noWrap/>
            <w:vAlign w:val="center"/>
          </w:tcPr>
          <w:p w14:paraId="0C06E9A0">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债券资产</w:t>
            </w:r>
          </w:p>
        </w:tc>
        <w:tc>
          <w:tcPr>
            <w:tcW w:w="5917" w:type="dxa"/>
            <w:tcBorders>
              <w:top w:val="single" w:color="000000" w:sz="4" w:space="0"/>
              <w:left w:val="single" w:color="000000" w:sz="4" w:space="0"/>
              <w:bottom w:val="single" w:color="000000" w:sz="4" w:space="0"/>
              <w:right w:val="single" w:color="000000" w:sz="4" w:space="0"/>
            </w:tcBorders>
            <w:noWrap w:val="0"/>
            <w:vAlign w:val="center"/>
          </w:tcPr>
          <w:p w14:paraId="4942FA77">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投融资碳排放量</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36D2BD38">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tCO2e</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3B87EC4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w:t>
            </w:r>
          </w:p>
        </w:tc>
      </w:tr>
      <w:tr w14:paraId="26868BCD">
        <w:tblPrEx>
          <w:tblCellMar>
            <w:top w:w="0" w:type="dxa"/>
            <w:left w:w="108" w:type="dxa"/>
            <w:bottom w:w="0" w:type="dxa"/>
            <w:right w:w="108" w:type="dxa"/>
          </w:tblCellMar>
        </w:tblPrEx>
        <w:trPr>
          <w:trHeight w:val="0" w:hRule="atLeast"/>
          <w:jc w:val="center"/>
        </w:trPr>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6AF2BAF9">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债券资产</w:t>
            </w:r>
          </w:p>
        </w:tc>
        <w:tc>
          <w:tcPr>
            <w:tcW w:w="5917" w:type="dxa"/>
            <w:tcBorders>
              <w:top w:val="single" w:color="000000" w:sz="4" w:space="0"/>
              <w:left w:val="single" w:color="000000" w:sz="4" w:space="0"/>
              <w:bottom w:val="single" w:color="000000" w:sz="4" w:space="0"/>
              <w:right w:val="single" w:color="000000" w:sz="4" w:space="0"/>
            </w:tcBorders>
            <w:noWrap w:val="0"/>
            <w:vAlign w:val="center"/>
          </w:tcPr>
          <w:p w14:paraId="121E1406">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纳入碳排放核算的投融资业务比例</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43C8207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2193DE9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lang w:val="en-US" w:eastAsia="zh-CN"/>
                <w14:textFill>
                  <w14:solidFill>
                    <w14:schemeClr w14:val="tx1"/>
                  </w14:solidFill>
                </w14:textFill>
              </w:rPr>
            </w:pPr>
            <w:r>
              <w:rPr>
                <w:rFonts w:hint="default" w:ascii="Times New Roman" w:hAnsi="Times New Roman" w:eastAsia="方正仿宋_GB2312" w:cs="Times New Roman"/>
                <w:sz w:val="20"/>
                <w:szCs w:val="20"/>
              </w:rPr>
              <w:t>/</w:t>
            </w:r>
          </w:p>
        </w:tc>
      </w:tr>
      <w:tr w14:paraId="541E7AB4">
        <w:tblPrEx>
          <w:tblCellMar>
            <w:top w:w="0" w:type="dxa"/>
            <w:left w:w="108" w:type="dxa"/>
            <w:bottom w:w="0" w:type="dxa"/>
            <w:right w:w="108" w:type="dxa"/>
          </w:tblCellMar>
        </w:tblPrEx>
        <w:trPr>
          <w:trHeight w:val="0" w:hRule="atLeast"/>
          <w:jc w:val="center"/>
        </w:trPr>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60694991">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债券资产</w:t>
            </w:r>
          </w:p>
        </w:tc>
        <w:tc>
          <w:tcPr>
            <w:tcW w:w="5917" w:type="dxa"/>
            <w:tcBorders>
              <w:top w:val="single" w:color="000000" w:sz="4" w:space="0"/>
              <w:left w:val="single" w:color="000000" w:sz="4" w:space="0"/>
              <w:bottom w:val="single" w:color="000000" w:sz="4" w:space="0"/>
              <w:right w:val="single" w:color="000000" w:sz="4" w:space="0"/>
            </w:tcBorders>
            <w:noWrap w:val="0"/>
            <w:vAlign w:val="center"/>
          </w:tcPr>
          <w:p w14:paraId="5CF28808">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纳入碳排放核算的债券投资账面价值</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1AE113B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万元</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1FAAB35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lang w:val="en-US" w:eastAsia="zh-CN"/>
                <w14:textFill>
                  <w14:solidFill>
                    <w14:schemeClr w14:val="tx1"/>
                  </w14:solidFill>
                </w14:textFill>
              </w:rPr>
            </w:pPr>
            <w:r>
              <w:rPr>
                <w:rFonts w:hint="default" w:ascii="Times New Roman" w:hAnsi="Times New Roman" w:eastAsia="方正仿宋_GB2312" w:cs="Times New Roman"/>
                <w:sz w:val="20"/>
                <w:szCs w:val="20"/>
              </w:rPr>
              <w:t>/</w:t>
            </w:r>
          </w:p>
        </w:tc>
      </w:tr>
      <w:tr w14:paraId="1CDA916D">
        <w:tblPrEx>
          <w:tblCellMar>
            <w:top w:w="0" w:type="dxa"/>
            <w:left w:w="108" w:type="dxa"/>
            <w:bottom w:w="0" w:type="dxa"/>
            <w:right w:w="108" w:type="dxa"/>
          </w:tblCellMar>
        </w:tblPrEx>
        <w:trPr>
          <w:trHeight w:val="0" w:hRule="atLeast"/>
          <w:jc w:val="center"/>
        </w:trPr>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37812B98">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债券资产</w:t>
            </w:r>
          </w:p>
        </w:tc>
        <w:tc>
          <w:tcPr>
            <w:tcW w:w="5917" w:type="dxa"/>
            <w:tcBorders>
              <w:top w:val="single" w:color="000000" w:sz="4" w:space="0"/>
              <w:left w:val="single" w:color="000000" w:sz="4" w:space="0"/>
              <w:bottom w:val="single" w:color="000000" w:sz="4" w:space="0"/>
              <w:right w:val="single" w:color="000000" w:sz="4" w:space="0"/>
            </w:tcBorders>
            <w:noWrap w:val="0"/>
            <w:vAlign w:val="center"/>
          </w:tcPr>
          <w:p w14:paraId="13214DF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投融资碳排放强度*</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42A6935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tCO2e/万元</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334BFC6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lang w:val="en-US" w:eastAsia="zh-CN"/>
                <w14:textFill>
                  <w14:solidFill>
                    <w14:schemeClr w14:val="tx1"/>
                  </w14:solidFill>
                </w14:textFill>
              </w:rPr>
            </w:pPr>
            <w:r>
              <w:rPr>
                <w:rFonts w:hint="default" w:ascii="Times New Roman" w:hAnsi="Times New Roman" w:eastAsia="方正仿宋_GB2312" w:cs="Times New Roman"/>
                <w:sz w:val="20"/>
                <w:szCs w:val="20"/>
              </w:rPr>
              <w:t>/</w:t>
            </w:r>
          </w:p>
        </w:tc>
      </w:tr>
      <w:tr w14:paraId="58EF8A8F">
        <w:tblPrEx>
          <w:tblCellMar>
            <w:top w:w="0" w:type="dxa"/>
            <w:left w:w="108" w:type="dxa"/>
            <w:bottom w:w="0" w:type="dxa"/>
            <w:right w:w="108" w:type="dxa"/>
          </w:tblCellMar>
        </w:tblPrEx>
        <w:trPr>
          <w:trHeight w:val="0" w:hRule="atLeast"/>
          <w:jc w:val="center"/>
        </w:trPr>
        <w:tc>
          <w:tcPr>
            <w:tcW w:w="1219" w:type="dxa"/>
            <w:vMerge w:val="restart"/>
            <w:tcBorders>
              <w:top w:val="single" w:color="000000" w:sz="4" w:space="0"/>
              <w:left w:val="single" w:color="000000" w:sz="4" w:space="0"/>
              <w:bottom w:val="single" w:color="000000" w:sz="4" w:space="0"/>
              <w:right w:val="single" w:color="000000" w:sz="4" w:space="0"/>
            </w:tcBorders>
            <w:noWrap/>
            <w:vAlign w:val="center"/>
          </w:tcPr>
          <w:p w14:paraId="406A782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合计</w:t>
            </w:r>
          </w:p>
        </w:tc>
        <w:tc>
          <w:tcPr>
            <w:tcW w:w="5917" w:type="dxa"/>
            <w:tcBorders>
              <w:top w:val="single" w:color="000000" w:sz="4" w:space="0"/>
              <w:left w:val="single" w:color="000000" w:sz="4" w:space="0"/>
              <w:bottom w:val="single" w:color="000000" w:sz="4" w:space="0"/>
              <w:right w:val="single" w:color="000000" w:sz="4" w:space="0"/>
            </w:tcBorders>
            <w:noWrap w:val="0"/>
            <w:vAlign w:val="center"/>
          </w:tcPr>
          <w:p w14:paraId="06694ECB">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投融资碳排放量</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154553A6">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tCO2e</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3D76F2F2">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69,598.81</w:t>
            </w:r>
          </w:p>
        </w:tc>
      </w:tr>
      <w:tr w14:paraId="532F6E0C">
        <w:tblPrEx>
          <w:tblCellMar>
            <w:top w:w="0" w:type="dxa"/>
            <w:left w:w="108" w:type="dxa"/>
            <w:bottom w:w="0" w:type="dxa"/>
            <w:right w:w="108" w:type="dxa"/>
          </w:tblCellMar>
        </w:tblPrEx>
        <w:trPr>
          <w:trHeight w:val="0" w:hRule="atLeast"/>
          <w:jc w:val="center"/>
        </w:trPr>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07B225F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合计</w:t>
            </w:r>
          </w:p>
        </w:tc>
        <w:tc>
          <w:tcPr>
            <w:tcW w:w="5917" w:type="dxa"/>
            <w:tcBorders>
              <w:top w:val="single" w:color="000000" w:sz="4" w:space="0"/>
              <w:left w:val="single" w:color="000000" w:sz="4" w:space="0"/>
              <w:bottom w:val="single" w:color="000000" w:sz="4" w:space="0"/>
              <w:right w:val="single" w:color="000000" w:sz="4" w:space="0"/>
            </w:tcBorders>
            <w:noWrap w:val="0"/>
            <w:vAlign w:val="center"/>
          </w:tcPr>
          <w:p w14:paraId="7BE93DEF">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纳入碳排放核算的贷款月均融资余额及债券投资账面价值总和</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58289ECC">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万元</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72B6F4B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909,596.34</w:t>
            </w:r>
          </w:p>
        </w:tc>
      </w:tr>
      <w:tr w14:paraId="41B97E66">
        <w:tblPrEx>
          <w:tblCellMar>
            <w:top w:w="0" w:type="dxa"/>
            <w:left w:w="108" w:type="dxa"/>
            <w:bottom w:w="0" w:type="dxa"/>
            <w:right w:w="108" w:type="dxa"/>
          </w:tblCellMar>
        </w:tblPrEx>
        <w:trPr>
          <w:trHeight w:val="0" w:hRule="atLeast"/>
          <w:jc w:val="center"/>
        </w:trPr>
        <w:tc>
          <w:tcPr>
            <w:tcW w:w="1219" w:type="dxa"/>
            <w:vMerge w:val="continue"/>
            <w:tcBorders>
              <w:top w:val="single" w:color="000000" w:sz="4" w:space="0"/>
              <w:left w:val="single" w:color="000000" w:sz="4" w:space="0"/>
              <w:bottom w:val="single" w:color="000000" w:sz="4" w:space="0"/>
              <w:right w:val="single" w:color="000000" w:sz="4" w:space="0"/>
            </w:tcBorders>
            <w:noWrap/>
            <w:vAlign w:val="center"/>
          </w:tcPr>
          <w:p w14:paraId="089C5120">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合计</w:t>
            </w:r>
          </w:p>
        </w:tc>
        <w:tc>
          <w:tcPr>
            <w:tcW w:w="5917" w:type="dxa"/>
            <w:tcBorders>
              <w:top w:val="single" w:color="000000" w:sz="4" w:space="0"/>
              <w:left w:val="single" w:color="000000" w:sz="4" w:space="0"/>
              <w:bottom w:val="single" w:color="000000" w:sz="4" w:space="0"/>
              <w:right w:val="single" w:color="000000" w:sz="4" w:space="0"/>
            </w:tcBorders>
            <w:noWrap w:val="0"/>
            <w:vAlign w:val="center"/>
          </w:tcPr>
          <w:p w14:paraId="13DEED1F">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投融资碳排放强度*</w:t>
            </w:r>
          </w:p>
        </w:tc>
        <w:tc>
          <w:tcPr>
            <w:tcW w:w="1288" w:type="dxa"/>
            <w:tcBorders>
              <w:top w:val="single" w:color="000000" w:sz="4" w:space="0"/>
              <w:left w:val="single" w:color="000000" w:sz="4" w:space="0"/>
              <w:bottom w:val="single" w:color="000000" w:sz="4" w:space="0"/>
              <w:right w:val="single" w:color="000000" w:sz="4" w:space="0"/>
            </w:tcBorders>
            <w:noWrap w:val="0"/>
            <w:vAlign w:val="center"/>
          </w:tcPr>
          <w:p w14:paraId="4D84635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14:textFill>
                  <w14:solidFill>
                    <w14:schemeClr w14:val="tx1"/>
                  </w14:solidFill>
                </w14:textFill>
              </w:rPr>
            </w:pPr>
            <w:r>
              <w:rPr>
                <w:rFonts w:hint="default" w:ascii="Times New Roman" w:hAnsi="Times New Roman" w:eastAsia="方正仿宋_GB2312" w:cs="Times New Roman"/>
                <w:b w:val="0"/>
                <w:bCs/>
                <w:color w:val="000000"/>
                <w:kern w:val="0"/>
                <w:sz w:val="20"/>
                <w:szCs w:val="20"/>
                <w:lang w:val="en-US" w:eastAsia="zh-CN"/>
              </w:rPr>
              <w:t>tCO2e/万元</w:t>
            </w:r>
          </w:p>
        </w:tc>
        <w:tc>
          <w:tcPr>
            <w:tcW w:w="1361" w:type="dxa"/>
            <w:tcBorders>
              <w:top w:val="single" w:color="000000" w:sz="4" w:space="0"/>
              <w:left w:val="single" w:color="000000" w:sz="4" w:space="0"/>
              <w:bottom w:val="single" w:color="000000" w:sz="4" w:space="0"/>
              <w:right w:val="single" w:color="000000" w:sz="4" w:space="0"/>
            </w:tcBorders>
            <w:noWrap w:val="0"/>
            <w:vAlign w:val="center"/>
          </w:tcPr>
          <w:p w14:paraId="50E29A1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0.0765</w:t>
            </w:r>
          </w:p>
        </w:tc>
      </w:tr>
    </w:tbl>
    <w:p w14:paraId="6CB2C925">
      <w:pPr>
        <w:pStyle w:val="5"/>
        <w:bidi w:val="0"/>
        <w:rPr>
          <w:rFonts w:hint="default" w:ascii="Times New Roman" w:hAnsi="Times New Roman" w:eastAsia="方正仿宋_GB2312" w:cs="Times New Roman"/>
          <w:b w:val="0"/>
          <w:bCs/>
          <w:lang w:val="en-US" w:eastAsia="zh-CN"/>
        </w:rPr>
      </w:pPr>
      <w:bookmarkStart w:id="37" w:name="_Toc1893"/>
      <w:bookmarkStart w:id="38" w:name="_Toc23318"/>
      <w:r>
        <w:rPr>
          <w:rFonts w:hint="default" w:ascii="Times New Roman" w:hAnsi="Times New Roman" w:eastAsia="方正仿宋_GB2312" w:cs="Times New Roman"/>
          <w:b w:val="0"/>
          <w:bCs/>
          <w:lang w:val="en-US" w:eastAsia="zh-CN"/>
        </w:rPr>
        <w:t>7.4高碳行业</w:t>
      </w:r>
      <w:bookmarkEnd w:id="37"/>
      <w:bookmarkEnd w:id="38"/>
    </w:p>
    <w:p w14:paraId="1E7D08F4">
      <w:pPr>
        <w:pageBreakBefore w:val="0"/>
        <w:widowControl/>
        <w:kinsoku w:val="0"/>
        <w:wordWrap/>
        <w:topLinePunct w:val="0"/>
        <w:autoSpaceDE w:val="0"/>
        <w:autoSpaceDN w:val="0"/>
        <w:bidi w:val="0"/>
        <w:adjustRightInd w:val="0"/>
        <w:snapToGrid w:val="0"/>
        <w:spacing w:before="149" w:beforeLines="50" w:line="240" w:lineRule="auto"/>
        <w:ind w:firstLine="504" w:firstLineChars="200"/>
        <w:textAlignment w:val="baseline"/>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报告年度内本行实际核算的八大高碳行业投融资碳排放合计为</w:t>
      </w:r>
      <w:r>
        <w:rPr>
          <w:rFonts w:hint="default" w:ascii="Times New Roman" w:hAnsi="Times New Roman" w:eastAsia="方正仿宋_GB2312" w:cs="Times New Roman"/>
          <w:b w:val="0"/>
          <w:bCs/>
          <w:snapToGrid w:val="0"/>
          <w:color w:val="000000" w:themeColor="text1"/>
          <w:spacing w:val="6"/>
          <w:kern w:val="0"/>
          <w:sz w:val="24"/>
          <w:szCs w:val="24"/>
          <w:u w:val="single"/>
          <w14:textFill>
            <w14:solidFill>
              <w14:schemeClr w14:val="tx1"/>
            </w14:solidFill>
          </w14:textFill>
        </w:rPr>
        <w:t>12,089.62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tCO2e。其中，电力行业产生的碳排放</w:t>
      </w:r>
      <w:r>
        <w:rPr>
          <w:rFonts w:hint="default" w:ascii="Times New Roman" w:hAnsi="Times New Roman" w:eastAsia="方正仿宋_GB2312" w:cs="Times New Roman"/>
          <w:b w:val="0"/>
          <w:bCs/>
          <w:snapToGrid w:val="0"/>
          <w:color w:val="000000" w:themeColor="text1"/>
          <w:spacing w:val="6"/>
          <w:kern w:val="0"/>
          <w:sz w:val="24"/>
          <w:szCs w:val="24"/>
          <w:u w:val="single"/>
          <w14:textFill>
            <w14:solidFill>
              <w14:schemeClr w14:val="tx1"/>
            </w14:solidFill>
          </w14:textFill>
        </w:rPr>
        <w:t>894.91</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tCO2e，钢铁行业产生的碳排放</w:t>
      </w:r>
      <w:r>
        <w:rPr>
          <w:rFonts w:hint="default" w:ascii="Times New Roman" w:hAnsi="Times New Roman" w:eastAsia="方正仿宋_GB2312" w:cs="Times New Roman"/>
          <w:b w:val="0"/>
          <w:bCs/>
          <w:snapToGrid w:val="0"/>
          <w:color w:val="000000" w:themeColor="text1"/>
          <w:spacing w:val="6"/>
          <w:kern w:val="0"/>
          <w:sz w:val="24"/>
          <w:szCs w:val="24"/>
          <w:u w:val="single"/>
          <w14:textFill>
            <w14:solidFill>
              <w14:schemeClr w14:val="tx1"/>
            </w14:solidFill>
          </w14:textFill>
        </w:rPr>
        <w:t>53.82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tCO2e，建材行业产生的碳排放</w:t>
      </w:r>
      <w:r>
        <w:rPr>
          <w:rFonts w:hint="default" w:ascii="Times New Roman" w:hAnsi="Times New Roman" w:eastAsia="方正仿宋_GB2312" w:cs="Times New Roman"/>
          <w:b w:val="0"/>
          <w:bCs/>
          <w:snapToGrid w:val="0"/>
          <w:color w:val="000000" w:themeColor="text1"/>
          <w:spacing w:val="6"/>
          <w:kern w:val="0"/>
          <w:sz w:val="24"/>
          <w:szCs w:val="24"/>
          <w:u w:val="single"/>
          <w14:textFill>
            <w14:solidFill>
              <w14:schemeClr w14:val="tx1"/>
            </w14:solidFill>
          </w14:textFill>
        </w:rPr>
        <w:t>6,010.47</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tCO2e，石化行业产生的碳排放</w:t>
      </w:r>
      <w:r>
        <w:rPr>
          <w:rFonts w:hint="default" w:ascii="Times New Roman" w:hAnsi="Times New Roman" w:eastAsia="方正仿宋_GB2312" w:cs="Times New Roman"/>
          <w:b w:val="0"/>
          <w:bCs/>
          <w:snapToGrid w:val="0"/>
          <w:color w:val="000000" w:themeColor="text1"/>
          <w:spacing w:val="6"/>
          <w:kern w:val="0"/>
          <w:sz w:val="24"/>
          <w:szCs w:val="24"/>
          <w:u w:val="single"/>
          <w14:textFill>
            <w14:solidFill>
              <w14:schemeClr w14:val="tx1"/>
            </w14:solidFill>
          </w14:textFill>
        </w:rPr>
        <w:t>213.13</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tCO2e，化工行业产生的碳排放</w:t>
      </w:r>
      <w:r>
        <w:rPr>
          <w:rFonts w:hint="default" w:ascii="Times New Roman" w:hAnsi="Times New Roman" w:eastAsia="方正仿宋_GB2312" w:cs="Times New Roman"/>
          <w:b w:val="0"/>
          <w:bCs/>
          <w:snapToGrid w:val="0"/>
          <w:color w:val="000000" w:themeColor="text1"/>
          <w:spacing w:val="6"/>
          <w:kern w:val="0"/>
          <w:sz w:val="24"/>
          <w:szCs w:val="24"/>
          <w:u w:val="single"/>
          <w14:textFill>
            <w14:solidFill>
              <w14:schemeClr w14:val="tx1"/>
            </w14:solidFill>
          </w14:textFill>
        </w:rPr>
        <w:t>3,238.92</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tCO2e，有色行业产生的碳排放</w:t>
      </w:r>
      <w:r>
        <w:rPr>
          <w:rFonts w:hint="default" w:ascii="Times New Roman" w:hAnsi="Times New Roman" w:eastAsia="方正仿宋_GB2312" w:cs="Times New Roman"/>
          <w:b w:val="0"/>
          <w:bCs/>
          <w:snapToGrid w:val="0"/>
          <w:color w:val="000000" w:themeColor="text1"/>
          <w:spacing w:val="6"/>
          <w:kern w:val="0"/>
          <w:sz w:val="24"/>
          <w:szCs w:val="24"/>
          <w:u w:val="single"/>
          <w14:textFill>
            <w14:solidFill>
              <w14:schemeClr w14:val="tx1"/>
            </w14:solidFill>
          </w14:textFill>
        </w:rPr>
        <w:t>1,154.73</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tCO2e，造纸行业产生的碳排放</w:t>
      </w:r>
      <w:r>
        <w:rPr>
          <w:rFonts w:hint="default" w:ascii="Times New Roman" w:hAnsi="Times New Roman" w:eastAsia="方正仿宋_GB2312" w:cs="Times New Roman"/>
          <w:b w:val="0"/>
          <w:bCs/>
          <w:snapToGrid w:val="0"/>
          <w:color w:val="000000" w:themeColor="text1"/>
          <w:spacing w:val="6"/>
          <w:kern w:val="0"/>
          <w:sz w:val="24"/>
          <w:szCs w:val="24"/>
          <w:u w:val="single"/>
          <w14:textFill>
            <w14:solidFill>
              <w14:schemeClr w14:val="tx1"/>
            </w14:solidFill>
          </w14:textFill>
        </w:rPr>
        <w:t>523.64</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tCO2e，民航行业产生的碳排放</w:t>
      </w:r>
      <w:r>
        <w:rPr>
          <w:rFonts w:hint="default" w:ascii="Times New Roman" w:hAnsi="Times New Roman" w:eastAsia="方正仿宋_GB2312" w:cs="Times New Roman"/>
          <w:b w:val="0"/>
          <w:bCs/>
          <w:snapToGrid w:val="0"/>
          <w:color w:val="000000" w:themeColor="text1"/>
          <w:spacing w:val="6"/>
          <w:kern w:val="0"/>
          <w:sz w:val="24"/>
          <w:szCs w:val="24"/>
          <w:u w:val="single"/>
          <w14:textFill>
            <w14:solidFill>
              <w14:schemeClr w14:val="tx1"/>
            </w14:solidFill>
          </w14:textFill>
        </w:rPr>
        <w:t>0.00</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tCO2e。</w:t>
      </w:r>
    </w:p>
    <w:p w14:paraId="474E5BE0">
      <w:pPr>
        <w:widowControl/>
        <w:spacing w:line="240" w:lineRule="auto"/>
        <w:ind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投融资（八大高碳行业）碳排放</w:t>
      </w:r>
    </w:p>
    <w:tbl>
      <w:tblPr>
        <w:tblStyle w:val="22"/>
        <w:tblW w:w="9891" w:type="dxa"/>
        <w:jc w:val="center"/>
        <w:tblLayout w:type="autofit"/>
        <w:tblCellMar>
          <w:top w:w="0" w:type="dxa"/>
          <w:left w:w="108" w:type="dxa"/>
          <w:bottom w:w="0" w:type="dxa"/>
          <w:right w:w="108" w:type="dxa"/>
        </w:tblCellMar>
      </w:tblPr>
      <w:tblGrid>
        <w:gridCol w:w="1552"/>
        <w:gridCol w:w="2889"/>
        <w:gridCol w:w="2588"/>
        <w:gridCol w:w="2862"/>
      </w:tblGrid>
      <w:tr w14:paraId="22F81AED">
        <w:tblPrEx>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4EB6A14C">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八大高碳行业</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0363059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贷款月均融资余额（万元）</w:t>
            </w:r>
          </w:p>
        </w:tc>
        <w:tc>
          <w:tcPr>
            <w:tcW w:w="2588" w:type="dxa"/>
            <w:tcBorders>
              <w:top w:val="single" w:color="000000" w:sz="4" w:space="0"/>
              <w:left w:val="single" w:color="000000" w:sz="4" w:space="0"/>
              <w:bottom w:val="single" w:color="000000" w:sz="4" w:space="0"/>
              <w:right w:val="single" w:color="000000" w:sz="4" w:space="0"/>
            </w:tcBorders>
            <w:noWrap/>
            <w:vAlign w:val="center"/>
          </w:tcPr>
          <w:p w14:paraId="3E46CF0B">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贷款碳排放量（</w:t>
            </w:r>
            <w:r>
              <w:rPr>
                <w:rFonts w:hint="default" w:ascii="Times New Roman" w:hAnsi="Times New Roman" w:eastAsia="方正仿宋_GB2312" w:cs="Times New Roman"/>
                <w:b/>
                <w:bCs/>
                <w:snapToGrid w:val="0"/>
                <w:color w:val="000000" w:themeColor="text1"/>
                <w:spacing w:val="6"/>
                <w:kern w:val="0"/>
                <w:sz w:val="20"/>
                <w:szCs w:val="20"/>
                <w14:textFill>
                  <w14:solidFill>
                    <w14:schemeClr w14:val="tx1"/>
                  </w14:solidFill>
                </w14:textFill>
              </w:rPr>
              <w:t>tCO</w:t>
            </w:r>
            <w:r>
              <w:rPr>
                <w:rFonts w:hint="default" w:ascii="Times New Roman" w:hAnsi="Times New Roman" w:eastAsia="方正仿宋_GB2312" w:cs="Times New Roman"/>
                <w:b/>
                <w:bCs/>
                <w:snapToGrid w:val="0"/>
                <w:color w:val="000000" w:themeColor="text1"/>
                <w:spacing w:val="6"/>
                <w:kern w:val="0"/>
                <w:sz w:val="20"/>
                <w:szCs w:val="20"/>
                <w:vertAlign w:val="subscript"/>
                <w14:textFill>
                  <w14:solidFill>
                    <w14:schemeClr w14:val="tx1"/>
                  </w14:solidFill>
                </w14:textFill>
              </w:rPr>
              <w:t>2</w:t>
            </w:r>
            <w:r>
              <w:rPr>
                <w:rFonts w:hint="default" w:ascii="Times New Roman" w:hAnsi="Times New Roman" w:eastAsia="方正仿宋_GB2312" w:cs="Times New Roman"/>
                <w:b/>
                <w:bCs/>
                <w:snapToGrid w:val="0"/>
                <w:color w:val="000000" w:themeColor="text1"/>
                <w:spacing w:val="6"/>
                <w:kern w:val="0"/>
                <w:sz w:val="20"/>
                <w:szCs w:val="20"/>
                <w14:textFill>
                  <w14:solidFill>
                    <w14:schemeClr w14:val="tx1"/>
                  </w14:solidFill>
                </w14:textFill>
              </w:rPr>
              <w:t>e</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w:t>
            </w:r>
          </w:p>
        </w:tc>
        <w:tc>
          <w:tcPr>
            <w:tcW w:w="2862" w:type="dxa"/>
            <w:tcBorders>
              <w:top w:val="single" w:color="000000" w:sz="4" w:space="0"/>
              <w:left w:val="single" w:color="000000" w:sz="4" w:space="0"/>
              <w:bottom w:val="single" w:color="000000" w:sz="4" w:space="0"/>
              <w:right w:val="single" w:color="000000" w:sz="4" w:space="0"/>
            </w:tcBorders>
            <w:noWrap/>
            <w:vAlign w:val="center"/>
          </w:tcPr>
          <w:p w14:paraId="0160A35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碳排放强度（</w:t>
            </w:r>
            <w:r>
              <w:rPr>
                <w:rFonts w:hint="default" w:ascii="Times New Roman" w:hAnsi="Times New Roman" w:eastAsia="方正仿宋_GB2312" w:cs="Times New Roman"/>
                <w:b/>
                <w:bCs/>
                <w:snapToGrid w:val="0"/>
                <w:color w:val="000000" w:themeColor="text1"/>
                <w:spacing w:val="6"/>
                <w:kern w:val="0"/>
                <w:sz w:val="20"/>
                <w:szCs w:val="20"/>
                <w14:textFill>
                  <w14:solidFill>
                    <w14:schemeClr w14:val="tx1"/>
                  </w14:solidFill>
                </w14:textFill>
              </w:rPr>
              <w:t>tCO</w:t>
            </w:r>
            <w:r>
              <w:rPr>
                <w:rFonts w:hint="default" w:ascii="Times New Roman" w:hAnsi="Times New Roman" w:eastAsia="方正仿宋_GB2312" w:cs="Times New Roman"/>
                <w:b/>
                <w:bCs/>
                <w:snapToGrid w:val="0"/>
                <w:color w:val="000000" w:themeColor="text1"/>
                <w:spacing w:val="6"/>
                <w:kern w:val="0"/>
                <w:sz w:val="20"/>
                <w:szCs w:val="20"/>
                <w:vertAlign w:val="subscript"/>
                <w14:textFill>
                  <w14:solidFill>
                    <w14:schemeClr w14:val="tx1"/>
                  </w14:solidFill>
                </w14:textFill>
              </w:rPr>
              <w:t>2</w:t>
            </w:r>
            <w:r>
              <w:rPr>
                <w:rFonts w:hint="default" w:ascii="Times New Roman" w:hAnsi="Times New Roman" w:eastAsia="方正仿宋_GB2312" w:cs="Times New Roman"/>
                <w:b/>
                <w:bCs/>
                <w:snapToGrid w:val="0"/>
                <w:color w:val="000000" w:themeColor="text1"/>
                <w:spacing w:val="6"/>
                <w:kern w:val="0"/>
                <w:sz w:val="20"/>
                <w:szCs w:val="20"/>
                <w14:textFill>
                  <w14:solidFill>
                    <w14:schemeClr w14:val="tx1"/>
                  </w14:solidFill>
                </w14:textFill>
              </w:rPr>
              <w:t>e</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/万元）</w:t>
            </w:r>
          </w:p>
        </w:tc>
      </w:tr>
      <w:tr w14:paraId="676C8113">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6658ACB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val="en-US" w:eastAsia="zh-CN"/>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lang w:val="en-US" w:eastAsia="zh-CN"/>
                <w14:textFill>
                  <w14:solidFill>
                    <w14:schemeClr w14:val="tx1"/>
                  </w14:solidFill>
                </w14:textFill>
              </w:rPr>
              <w:t>电力</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37232A94">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13,140.00</w:t>
            </w:r>
          </w:p>
        </w:tc>
        <w:tc>
          <w:tcPr>
            <w:tcW w:w="2588" w:type="dxa"/>
            <w:tcBorders>
              <w:top w:val="single" w:color="000000" w:sz="4" w:space="0"/>
              <w:left w:val="single" w:color="000000" w:sz="4" w:space="0"/>
              <w:bottom w:val="single" w:color="000000" w:sz="4" w:space="0"/>
              <w:right w:val="single" w:color="000000" w:sz="4" w:space="0"/>
            </w:tcBorders>
            <w:noWrap/>
            <w:vAlign w:val="center"/>
          </w:tcPr>
          <w:p w14:paraId="12EC660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894.91</w:t>
            </w:r>
          </w:p>
        </w:tc>
        <w:tc>
          <w:tcPr>
            <w:tcW w:w="2862" w:type="dxa"/>
            <w:tcBorders>
              <w:top w:val="single" w:color="000000" w:sz="4" w:space="0"/>
              <w:left w:val="single" w:color="000000" w:sz="4" w:space="0"/>
              <w:bottom w:val="single" w:color="000000" w:sz="4" w:space="0"/>
              <w:right w:val="single" w:color="000000" w:sz="4" w:space="0"/>
            </w:tcBorders>
            <w:vAlign w:val="center"/>
          </w:tcPr>
          <w:p w14:paraId="04AD9426">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0.0681</w:t>
            </w:r>
          </w:p>
        </w:tc>
      </w:tr>
      <w:tr w14:paraId="46672906">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01F4923B">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钢铁</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2C35217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3,120.00</w:t>
            </w:r>
          </w:p>
        </w:tc>
        <w:tc>
          <w:tcPr>
            <w:tcW w:w="2588" w:type="dxa"/>
            <w:tcBorders>
              <w:top w:val="single" w:color="000000" w:sz="4" w:space="0"/>
              <w:left w:val="single" w:color="000000" w:sz="4" w:space="0"/>
              <w:bottom w:val="single" w:color="000000" w:sz="4" w:space="0"/>
              <w:right w:val="single" w:color="000000" w:sz="4" w:space="0"/>
            </w:tcBorders>
            <w:noWrap/>
            <w:vAlign w:val="center"/>
          </w:tcPr>
          <w:p w14:paraId="4B7BE520">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53.82</w:t>
            </w:r>
          </w:p>
        </w:tc>
        <w:tc>
          <w:tcPr>
            <w:tcW w:w="2862" w:type="dxa"/>
            <w:tcBorders>
              <w:top w:val="single" w:color="000000" w:sz="4" w:space="0"/>
              <w:left w:val="single" w:color="000000" w:sz="4" w:space="0"/>
              <w:bottom w:val="single" w:color="000000" w:sz="4" w:space="0"/>
              <w:right w:val="single" w:color="000000" w:sz="4" w:space="0"/>
            </w:tcBorders>
            <w:vAlign w:val="center"/>
          </w:tcPr>
          <w:p w14:paraId="13B00338">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0.0173</w:t>
            </w:r>
          </w:p>
        </w:tc>
      </w:tr>
      <w:tr w14:paraId="3520380A">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216282E">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建材</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1DF8349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54,340.00</w:t>
            </w:r>
          </w:p>
        </w:tc>
        <w:tc>
          <w:tcPr>
            <w:tcW w:w="2588" w:type="dxa"/>
            <w:tcBorders>
              <w:top w:val="single" w:color="000000" w:sz="4" w:space="0"/>
              <w:left w:val="single" w:color="000000" w:sz="4" w:space="0"/>
              <w:bottom w:val="single" w:color="000000" w:sz="4" w:space="0"/>
              <w:right w:val="single" w:color="000000" w:sz="4" w:space="0"/>
            </w:tcBorders>
            <w:noWrap/>
            <w:vAlign w:val="center"/>
          </w:tcPr>
          <w:p w14:paraId="461E18C0">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6,010.47</w:t>
            </w:r>
          </w:p>
        </w:tc>
        <w:tc>
          <w:tcPr>
            <w:tcW w:w="2862" w:type="dxa"/>
            <w:tcBorders>
              <w:top w:val="single" w:color="000000" w:sz="4" w:space="0"/>
              <w:left w:val="single" w:color="000000" w:sz="4" w:space="0"/>
              <w:bottom w:val="single" w:color="000000" w:sz="4" w:space="0"/>
              <w:right w:val="single" w:color="000000" w:sz="4" w:space="0"/>
            </w:tcBorders>
            <w:vAlign w:val="center"/>
          </w:tcPr>
          <w:p w14:paraId="5701C7C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0.1106</w:t>
            </w:r>
          </w:p>
        </w:tc>
      </w:tr>
      <w:tr w14:paraId="5D4E7E19">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A7375D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石化</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4907BA72">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1,320.00</w:t>
            </w:r>
          </w:p>
        </w:tc>
        <w:tc>
          <w:tcPr>
            <w:tcW w:w="2588" w:type="dxa"/>
            <w:tcBorders>
              <w:top w:val="single" w:color="000000" w:sz="4" w:space="0"/>
              <w:left w:val="single" w:color="000000" w:sz="4" w:space="0"/>
              <w:bottom w:val="single" w:color="000000" w:sz="4" w:space="0"/>
              <w:right w:val="single" w:color="000000" w:sz="4" w:space="0"/>
            </w:tcBorders>
            <w:noWrap/>
            <w:vAlign w:val="center"/>
          </w:tcPr>
          <w:p w14:paraId="4F3D5DE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213.13</w:t>
            </w:r>
          </w:p>
        </w:tc>
        <w:tc>
          <w:tcPr>
            <w:tcW w:w="2862" w:type="dxa"/>
            <w:tcBorders>
              <w:top w:val="single" w:color="000000" w:sz="4" w:space="0"/>
              <w:left w:val="single" w:color="000000" w:sz="4" w:space="0"/>
              <w:bottom w:val="single" w:color="000000" w:sz="4" w:space="0"/>
              <w:right w:val="single" w:color="000000" w:sz="4" w:space="0"/>
            </w:tcBorders>
            <w:vAlign w:val="center"/>
          </w:tcPr>
          <w:p w14:paraId="04E54C8C">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0.1615</w:t>
            </w:r>
          </w:p>
        </w:tc>
      </w:tr>
      <w:tr w14:paraId="7AC84810">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5D54231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化工</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42F00C4D">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9,048.00</w:t>
            </w:r>
          </w:p>
        </w:tc>
        <w:tc>
          <w:tcPr>
            <w:tcW w:w="2588" w:type="dxa"/>
            <w:tcBorders>
              <w:top w:val="single" w:color="000000" w:sz="4" w:space="0"/>
              <w:left w:val="single" w:color="000000" w:sz="4" w:space="0"/>
              <w:bottom w:val="single" w:color="000000" w:sz="4" w:space="0"/>
              <w:right w:val="single" w:color="000000" w:sz="4" w:space="0"/>
            </w:tcBorders>
            <w:noWrap/>
            <w:vAlign w:val="center"/>
          </w:tcPr>
          <w:p w14:paraId="72DC8238">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3,238.92</w:t>
            </w:r>
          </w:p>
        </w:tc>
        <w:tc>
          <w:tcPr>
            <w:tcW w:w="2862" w:type="dxa"/>
            <w:tcBorders>
              <w:top w:val="single" w:color="000000" w:sz="4" w:space="0"/>
              <w:left w:val="single" w:color="000000" w:sz="4" w:space="0"/>
              <w:bottom w:val="single" w:color="000000" w:sz="4" w:space="0"/>
              <w:right w:val="single" w:color="000000" w:sz="4" w:space="0"/>
            </w:tcBorders>
            <w:vAlign w:val="center"/>
          </w:tcPr>
          <w:p w14:paraId="65968E0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0.3580</w:t>
            </w:r>
          </w:p>
        </w:tc>
      </w:tr>
      <w:tr w14:paraId="5968D5D1">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1E88743A">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有色</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2CD72C3F">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12,560.50</w:t>
            </w:r>
          </w:p>
        </w:tc>
        <w:tc>
          <w:tcPr>
            <w:tcW w:w="2588" w:type="dxa"/>
            <w:tcBorders>
              <w:top w:val="single" w:color="000000" w:sz="4" w:space="0"/>
              <w:left w:val="single" w:color="000000" w:sz="4" w:space="0"/>
              <w:bottom w:val="single" w:color="000000" w:sz="4" w:space="0"/>
              <w:right w:val="single" w:color="000000" w:sz="4" w:space="0"/>
            </w:tcBorders>
            <w:noWrap/>
            <w:vAlign w:val="center"/>
          </w:tcPr>
          <w:p w14:paraId="17D71E16">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1,154.73</w:t>
            </w:r>
          </w:p>
        </w:tc>
        <w:tc>
          <w:tcPr>
            <w:tcW w:w="2862" w:type="dxa"/>
            <w:tcBorders>
              <w:top w:val="single" w:color="000000" w:sz="4" w:space="0"/>
              <w:left w:val="single" w:color="000000" w:sz="4" w:space="0"/>
              <w:bottom w:val="single" w:color="000000" w:sz="4" w:space="0"/>
              <w:right w:val="single" w:color="000000" w:sz="4" w:space="0"/>
            </w:tcBorders>
            <w:vAlign w:val="center"/>
          </w:tcPr>
          <w:p w14:paraId="332D5F6E">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0.0919</w:t>
            </w:r>
          </w:p>
        </w:tc>
      </w:tr>
      <w:tr w14:paraId="4F824DDB">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14C6067">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造纸</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627AD407">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3,982.00</w:t>
            </w:r>
          </w:p>
        </w:tc>
        <w:tc>
          <w:tcPr>
            <w:tcW w:w="2588" w:type="dxa"/>
            <w:tcBorders>
              <w:top w:val="single" w:color="000000" w:sz="4" w:space="0"/>
              <w:left w:val="single" w:color="000000" w:sz="4" w:space="0"/>
              <w:bottom w:val="single" w:color="000000" w:sz="4" w:space="0"/>
              <w:right w:val="single" w:color="000000" w:sz="4" w:space="0"/>
            </w:tcBorders>
            <w:noWrap/>
            <w:vAlign w:val="center"/>
          </w:tcPr>
          <w:p w14:paraId="5B8560C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523.64</w:t>
            </w:r>
          </w:p>
        </w:tc>
        <w:tc>
          <w:tcPr>
            <w:tcW w:w="2862" w:type="dxa"/>
            <w:tcBorders>
              <w:top w:val="single" w:color="000000" w:sz="4" w:space="0"/>
              <w:left w:val="single" w:color="000000" w:sz="4" w:space="0"/>
              <w:bottom w:val="single" w:color="000000" w:sz="4" w:space="0"/>
              <w:right w:val="single" w:color="000000" w:sz="4" w:space="0"/>
            </w:tcBorders>
            <w:vAlign w:val="center"/>
          </w:tcPr>
          <w:p w14:paraId="0795279F">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0.1315</w:t>
            </w:r>
          </w:p>
        </w:tc>
      </w:tr>
      <w:tr w14:paraId="7DE0C6F3">
        <w:tblPrEx>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noWrap/>
            <w:vAlign w:val="center"/>
          </w:tcPr>
          <w:p w14:paraId="7147BF4F">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themeColor="text1"/>
                <w:kern w:val="0"/>
                <w:sz w:val="20"/>
                <w:szCs w:val="20"/>
                <w:lang w:eastAsia="zh-CN"/>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lang w:val="en-US" w:eastAsia="zh-CN"/>
                <w14:textFill>
                  <w14:solidFill>
                    <w14:schemeClr w14:val="tx1"/>
                  </w14:solidFill>
                </w14:textFill>
              </w:rPr>
              <w:t>民航</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4662E42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0.00</w:t>
            </w:r>
          </w:p>
        </w:tc>
        <w:tc>
          <w:tcPr>
            <w:tcW w:w="2588" w:type="dxa"/>
            <w:tcBorders>
              <w:top w:val="single" w:color="000000" w:sz="4" w:space="0"/>
              <w:left w:val="single" w:color="000000" w:sz="4" w:space="0"/>
              <w:bottom w:val="single" w:color="000000" w:sz="4" w:space="0"/>
              <w:right w:val="single" w:color="000000" w:sz="4" w:space="0"/>
            </w:tcBorders>
            <w:noWrap/>
            <w:vAlign w:val="center"/>
          </w:tcPr>
          <w:p w14:paraId="6BB543C6">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0.00</w:t>
            </w:r>
          </w:p>
        </w:tc>
        <w:tc>
          <w:tcPr>
            <w:tcW w:w="2862" w:type="dxa"/>
            <w:tcBorders>
              <w:top w:val="single" w:color="000000" w:sz="4" w:space="0"/>
              <w:left w:val="single" w:color="000000" w:sz="4" w:space="0"/>
              <w:bottom w:val="single" w:color="000000" w:sz="4" w:space="0"/>
              <w:right w:val="single" w:color="000000" w:sz="4" w:space="0"/>
            </w:tcBorders>
            <w:vAlign w:val="center"/>
          </w:tcPr>
          <w:p w14:paraId="10C841B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0.0000</w:t>
            </w:r>
          </w:p>
        </w:tc>
      </w:tr>
      <w:tr w14:paraId="3E429D00">
        <w:tblPrEx>
          <w:tblCellMar>
            <w:top w:w="0" w:type="dxa"/>
            <w:left w:w="108" w:type="dxa"/>
            <w:bottom w:w="0" w:type="dxa"/>
            <w:right w:w="108" w:type="dxa"/>
          </w:tblCellMar>
        </w:tblPrEx>
        <w:trPr>
          <w:trHeight w:val="0" w:hRule="atLeast"/>
          <w:jc w:val="center"/>
        </w:trPr>
        <w:tc>
          <w:tcPr>
            <w:tcW w:w="1552" w:type="dxa"/>
            <w:tcBorders>
              <w:top w:val="single" w:color="000000" w:sz="4" w:space="0"/>
              <w:left w:val="single" w:color="000000" w:sz="4" w:space="0"/>
              <w:bottom w:val="single" w:color="000000" w:sz="4" w:space="0"/>
              <w:right w:val="single" w:color="000000" w:sz="4" w:space="0"/>
            </w:tcBorders>
            <w:noWrap/>
            <w:vAlign w:val="center"/>
          </w:tcPr>
          <w:p w14:paraId="28867FD7">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总计</w:t>
            </w:r>
          </w:p>
        </w:tc>
        <w:tc>
          <w:tcPr>
            <w:tcW w:w="2889" w:type="dxa"/>
            <w:tcBorders>
              <w:top w:val="single" w:color="000000" w:sz="4" w:space="0"/>
              <w:left w:val="single" w:color="000000" w:sz="4" w:space="0"/>
              <w:bottom w:val="single" w:color="000000" w:sz="4" w:space="0"/>
              <w:right w:val="single" w:color="000000" w:sz="4" w:space="0"/>
            </w:tcBorders>
            <w:noWrap/>
            <w:vAlign w:val="center"/>
          </w:tcPr>
          <w:p w14:paraId="3B0FD84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bCs/>
                <w:color w:val="000000"/>
                <w:kern w:val="0"/>
                <w:sz w:val="20"/>
                <w:szCs w:val="20"/>
                <w:lang w:val="en-US" w:eastAsia="zh-CN"/>
              </w:rPr>
            </w:pPr>
            <w:r>
              <w:rPr>
                <w:rFonts w:hint="default" w:ascii="Times New Roman" w:hAnsi="Times New Roman" w:eastAsia="方正仿宋_GB2312" w:cs="Times New Roman"/>
                <w:b/>
                <w:sz w:val="20"/>
                <w:szCs w:val="20"/>
              </w:rPr>
              <w:t>97,510.50</w:t>
            </w:r>
          </w:p>
        </w:tc>
        <w:tc>
          <w:tcPr>
            <w:tcW w:w="2588" w:type="dxa"/>
            <w:tcBorders>
              <w:top w:val="single" w:color="000000" w:sz="4" w:space="0"/>
              <w:left w:val="single" w:color="000000" w:sz="4" w:space="0"/>
              <w:bottom w:val="single" w:color="000000" w:sz="4" w:space="0"/>
              <w:right w:val="single" w:color="000000" w:sz="4" w:space="0"/>
            </w:tcBorders>
            <w:noWrap/>
            <w:vAlign w:val="center"/>
          </w:tcPr>
          <w:p w14:paraId="48CAF1F3">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kern w:val="0"/>
                <w:sz w:val="20"/>
                <w:szCs w:val="20"/>
                <w:lang w:val="en-US" w:eastAsia="zh-CN"/>
              </w:rPr>
            </w:pPr>
            <w:r>
              <w:rPr>
                <w:rFonts w:hint="default" w:ascii="Times New Roman" w:hAnsi="Times New Roman" w:eastAsia="方正仿宋_GB2312" w:cs="Times New Roman"/>
                <w:b/>
                <w:sz w:val="20"/>
                <w:szCs w:val="20"/>
              </w:rPr>
              <w:t>12,089.62</w:t>
            </w:r>
          </w:p>
        </w:tc>
        <w:tc>
          <w:tcPr>
            <w:tcW w:w="2862" w:type="dxa"/>
            <w:tcBorders>
              <w:top w:val="single" w:color="000000" w:sz="4" w:space="0"/>
              <w:left w:val="single" w:color="000000" w:sz="4" w:space="0"/>
              <w:bottom w:val="single" w:color="000000" w:sz="4" w:space="0"/>
              <w:right w:val="single" w:color="000000" w:sz="4" w:space="0"/>
            </w:tcBorders>
            <w:vAlign w:val="center"/>
          </w:tcPr>
          <w:p w14:paraId="1CFBCC75">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kern w:val="0"/>
                <w:sz w:val="20"/>
                <w:szCs w:val="20"/>
                <w:lang w:val="en-US" w:eastAsia="zh-CN"/>
              </w:rPr>
            </w:pPr>
            <w:r>
              <w:rPr>
                <w:rFonts w:hint="default" w:ascii="Times New Roman" w:hAnsi="Times New Roman" w:eastAsia="方正仿宋_GB2312" w:cs="Times New Roman"/>
                <w:b/>
                <w:sz w:val="20"/>
                <w:szCs w:val="20"/>
              </w:rPr>
              <w:t>0.1240</w:t>
            </w:r>
          </w:p>
        </w:tc>
      </w:tr>
    </w:tbl>
    <w:p w14:paraId="6C5BCAF3">
      <w:pPr>
        <w:pStyle w:val="5"/>
        <w:bidi w:val="0"/>
        <w:rPr>
          <w:rFonts w:hint="default" w:ascii="Times New Roman" w:hAnsi="Times New Roman" w:eastAsia="方正仿宋_GB2312" w:cs="Times New Roman"/>
          <w:b w:val="0"/>
          <w:bCs/>
          <w:lang w:val="en-US" w:eastAsia="zh-CN"/>
        </w:rPr>
      </w:pPr>
      <w:bookmarkStart w:id="39" w:name="_Toc23578"/>
      <w:bookmarkStart w:id="40" w:name="_Toc31503"/>
      <w:r>
        <w:rPr>
          <w:rFonts w:hint="default" w:ascii="Times New Roman" w:hAnsi="Times New Roman" w:eastAsia="方正仿宋_GB2312" w:cs="Times New Roman"/>
          <w:b w:val="0"/>
          <w:bCs/>
          <w:lang w:val="en-US" w:eastAsia="zh-CN"/>
        </w:rPr>
        <w:t>7.5行业门类</w:t>
      </w:r>
      <w:bookmarkEnd w:id="39"/>
      <w:bookmarkEnd w:id="40"/>
    </w:p>
    <w:p w14:paraId="3C22A277">
      <w:pPr>
        <w:widowControl/>
        <w:kinsoku w:val="0"/>
        <w:autoSpaceDE w:val="0"/>
        <w:autoSpaceDN w:val="0"/>
        <w:adjustRightInd w:val="0"/>
        <w:snapToGrid w:val="0"/>
        <w:spacing w:before="156" w:beforeLines="50" w:line="240" w:lineRule="auto"/>
        <w:ind w:firstLine="504"/>
        <w:textAlignment w:val="baseline"/>
        <w:rPr>
          <w:rFonts w:hint="default" w:ascii="Times New Roman" w:hAnsi="Times New Roman" w:eastAsia="方正仿宋_GB2312" w:cs="Times New Roman"/>
          <w:b w:val="0"/>
          <w:bCs/>
          <w:color w:val="000000" w:themeColor="text1"/>
          <w:kern w:val="0"/>
          <w:sz w:val="18"/>
          <w:szCs w:val="18"/>
          <w14:textFill>
            <w14:solidFill>
              <w14:schemeClr w14:val="tx1"/>
            </w14:solidFill>
          </w14:textFill>
        </w:rPr>
      </w:pP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报告年度内本行投融资活动碳排放按行业门类构成分析，占比前三的行业依次为：</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C.制造业</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产生的碳排放</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48,317.79</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tCO2e，</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F. 批发和零售业</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产生的碳排放</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6,851.57</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tCO2e，</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E. 建筑业</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产生的碳排放</w:t>
      </w:r>
      <w:r>
        <w:rPr>
          <w:rFonts w:hint="default" w:ascii="Times New Roman" w:hAnsi="Times New Roman" w:eastAsia="方正仿宋_GB2312" w:cs="Times New Roman"/>
          <w:b w:val="0"/>
          <w:bCs/>
          <w:snapToGrid w:val="0"/>
          <w:color w:val="000000" w:themeColor="text1"/>
          <w:spacing w:val="6"/>
          <w:kern w:val="0"/>
          <w:sz w:val="24"/>
          <w:szCs w:val="24"/>
          <w:u w:val="single"/>
          <w:lang w:val="en-US" w:eastAsia="zh-CN"/>
          <w14:textFill>
            <w14:solidFill>
              <w14:schemeClr w14:val="tx1"/>
            </w14:solidFill>
          </w14:textFill>
        </w:rPr>
        <w:t>4,951.16</w:t>
      </w:r>
      <w:r>
        <w:rPr>
          <w:rFonts w:hint="default" w:ascii="Times New Roman" w:hAnsi="Times New Roman" w:eastAsia="方正仿宋_GB2312" w:cs="Times New Roman"/>
          <w:b w:val="0"/>
          <w:bCs/>
          <w:snapToGrid w:val="0"/>
          <w:color w:val="000000" w:themeColor="text1"/>
          <w:spacing w:val="6"/>
          <w:kern w:val="0"/>
          <w:sz w:val="24"/>
          <w:szCs w:val="24"/>
          <w:lang w:val="en-US" w:eastAsia="zh-CN"/>
          <w14:textFill>
            <w14:solidFill>
              <w14:schemeClr w14:val="tx1"/>
            </w14:solidFill>
          </w14:textFill>
        </w:rPr>
        <w:t>tCO2e</w:t>
      </w:r>
      <w:r>
        <w:rPr>
          <w:rFonts w:hint="default" w:ascii="Times New Roman" w:hAnsi="Times New Roman" w:eastAsia="方正仿宋_GB2312" w:cs="Times New Roman"/>
          <w:b w:val="0"/>
          <w:bCs/>
          <w:snapToGrid w:val="0"/>
          <w:color w:val="000000" w:themeColor="text1"/>
          <w:spacing w:val="6"/>
          <w:kern w:val="0"/>
          <w:sz w:val="24"/>
          <w:szCs w:val="24"/>
          <w14:textFill>
            <w14:solidFill>
              <w14:schemeClr w14:val="tx1"/>
            </w14:solidFill>
          </w14:textFill>
        </w:rPr>
        <w:t>。</w:t>
      </w:r>
    </w:p>
    <w:p w14:paraId="0B44BFE8">
      <w:pPr>
        <w:widowControl/>
        <w:spacing w:line="240" w:lineRule="auto"/>
        <w:ind w:firstLine="0" w:firstLineChars="0"/>
        <w:jc w:val="cente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投融资（行业门类）碳排放</w:t>
      </w:r>
    </w:p>
    <w:tbl>
      <w:tblPr>
        <w:tblStyle w:val="22"/>
        <w:tblW w:w="9786" w:type="dxa"/>
        <w:jc w:val="center"/>
        <w:tblLayout w:type="fixed"/>
        <w:tblCellMar>
          <w:top w:w="0" w:type="dxa"/>
          <w:left w:w="108" w:type="dxa"/>
          <w:bottom w:w="0" w:type="dxa"/>
          <w:right w:w="108" w:type="dxa"/>
        </w:tblCellMar>
      </w:tblPr>
      <w:tblGrid>
        <w:gridCol w:w="3223"/>
        <w:gridCol w:w="2413"/>
        <w:gridCol w:w="2563"/>
        <w:gridCol w:w="1587"/>
      </w:tblGrid>
      <w:tr w14:paraId="72E38A98">
        <w:tblPrEx>
          <w:tblCellMar>
            <w:top w:w="0" w:type="dxa"/>
            <w:left w:w="108" w:type="dxa"/>
            <w:bottom w:w="0" w:type="dxa"/>
            <w:right w:w="108" w:type="dxa"/>
          </w:tblCellMar>
        </w:tblPrEx>
        <w:trPr>
          <w:trHeight w:val="0" w:hRule="atLeast"/>
          <w:tblHeader/>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54E285C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行业门类</w:t>
            </w:r>
          </w:p>
        </w:tc>
        <w:tc>
          <w:tcPr>
            <w:tcW w:w="2413" w:type="dxa"/>
            <w:tcBorders>
              <w:top w:val="single" w:color="000000" w:sz="4" w:space="0"/>
              <w:left w:val="single" w:color="000000" w:sz="4" w:space="0"/>
              <w:bottom w:val="single" w:color="000000" w:sz="4" w:space="0"/>
              <w:right w:val="single" w:color="000000" w:sz="4" w:space="0"/>
            </w:tcBorders>
            <w:noWrap/>
            <w:vAlign w:val="center"/>
          </w:tcPr>
          <w:p w14:paraId="14A9FD21">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highlight w:val="none"/>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highlight w:val="none"/>
                <w14:textFill>
                  <w14:solidFill>
                    <w14:schemeClr w14:val="tx1"/>
                  </w14:solidFill>
                </w14:textFill>
              </w:rPr>
              <w:t>贷款月均融资余额</w:t>
            </w:r>
          </w:p>
          <w:p w14:paraId="4704CDB3">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highlight w:val="none"/>
                <w14:textFill>
                  <w14:solidFill>
                    <w14:schemeClr w14:val="tx1"/>
                  </w14:solidFill>
                </w14:textFill>
              </w:rPr>
              <w:t>（万元）</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2DEC4AC">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贷款及债券投资碳排放量</w:t>
            </w:r>
          </w:p>
          <w:p w14:paraId="1F376202">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w:t>
            </w:r>
            <w:r>
              <w:rPr>
                <w:rFonts w:hint="default" w:ascii="Times New Roman" w:hAnsi="Times New Roman" w:eastAsia="方正仿宋_GB2312" w:cs="Times New Roman"/>
                <w:b/>
                <w:bCs/>
                <w:snapToGrid w:val="0"/>
                <w:color w:val="000000" w:themeColor="text1"/>
                <w:spacing w:val="6"/>
                <w:kern w:val="0"/>
                <w:sz w:val="20"/>
                <w:szCs w:val="20"/>
                <w14:textFill>
                  <w14:solidFill>
                    <w14:schemeClr w14:val="tx1"/>
                  </w14:solidFill>
                </w14:textFill>
              </w:rPr>
              <w:t>tCO</w:t>
            </w:r>
            <w:r>
              <w:rPr>
                <w:rFonts w:hint="default" w:ascii="Times New Roman" w:hAnsi="Times New Roman" w:eastAsia="方正仿宋_GB2312" w:cs="Times New Roman"/>
                <w:b/>
                <w:bCs/>
                <w:snapToGrid w:val="0"/>
                <w:color w:val="000000" w:themeColor="text1"/>
                <w:spacing w:val="6"/>
                <w:kern w:val="0"/>
                <w:sz w:val="20"/>
                <w:szCs w:val="20"/>
                <w:vertAlign w:val="subscript"/>
                <w14:textFill>
                  <w14:solidFill>
                    <w14:schemeClr w14:val="tx1"/>
                  </w14:solidFill>
                </w14:textFill>
              </w:rPr>
              <w:t>2</w:t>
            </w:r>
            <w:r>
              <w:rPr>
                <w:rFonts w:hint="default" w:ascii="Times New Roman" w:hAnsi="Times New Roman" w:eastAsia="方正仿宋_GB2312" w:cs="Times New Roman"/>
                <w:b/>
                <w:bCs/>
                <w:snapToGrid w:val="0"/>
                <w:color w:val="000000" w:themeColor="text1"/>
                <w:spacing w:val="6"/>
                <w:kern w:val="0"/>
                <w:sz w:val="20"/>
                <w:szCs w:val="20"/>
                <w14:textFill>
                  <w14:solidFill>
                    <w14:schemeClr w14:val="tx1"/>
                  </w14:solidFill>
                </w14:textFill>
              </w:rPr>
              <w:t>e</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55968E81">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碳排放强度</w:t>
            </w:r>
          </w:p>
          <w:p w14:paraId="1DB5FC9D">
            <w:pPr>
              <w:widowControl/>
              <w:snapToGrid w:val="0"/>
              <w:spacing w:before="0" w:beforeLines="0" w:line="240" w:lineRule="auto"/>
              <w:ind w:left="0" w:leftChars="0" w:right="0" w:rightChars="0" w:firstLine="0" w:firstLineChars="0"/>
              <w:jc w:val="center"/>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w:t>
            </w:r>
            <w:r>
              <w:rPr>
                <w:rFonts w:hint="default" w:ascii="Times New Roman" w:hAnsi="Times New Roman" w:eastAsia="方正仿宋_GB2312" w:cs="Times New Roman"/>
                <w:b/>
                <w:bCs/>
                <w:snapToGrid w:val="0"/>
                <w:color w:val="000000" w:themeColor="text1"/>
                <w:spacing w:val="6"/>
                <w:kern w:val="0"/>
                <w:sz w:val="20"/>
                <w:szCs w:val="20"/>
                <w14:textFill>
                  <w14:solidFill>
                    <w14:schemeClr w14:val="tx1"/>
                  </w14:solidFill>
                </w14:textFill>
              </w:rPr>
              <w:t>tCO</w:t>
            </w:r>
            <w:r>
              <w:rPr>
                <w:rFonts w:hint="default" w:ascii="Times New Roman" w:hAnsi="Times New Roman" w:eastAsia="方正仿宋_GB2312" w:cs="Times New Roman"/>
                <w:b/>
                <w:bCs/>
                <w:snapToGrid w:val="0"/>
                <w:color w:val="000000" w:themeColor="text1"/>
                <w:spacing w:val="6"/>
                <w:kern w:val="0"/>
                <w:sz w:val="20"/>
                <w:szCs w:val="20"/>
                <w:vertAlign w:val="subscript"/>
                <w14:textFill>
                  <w14:solidFill>
                    <w14:schemeClr w14:val="tx1"/>
                  </w14:solidFill>
                </w14:textFill>
              </w:rPr>
              <w:t>2</w:t>
            </w:r>
            <w:r>
              <w:rPr>
                <w:rFonts w:hint="default" w:ascii="Times New Roman" w:hAnsi="Times New Roman" w:eastAsia="方正仿宋_GB2312" w:cs="Times New Roman"/>
                <w:b/>
                <w:bCs/>
                <w:snapToGrid w:val="0"/>
                <w:color w:val="000000" w:themeColor="text1"/>
                <w:spacing w:val="6"/>
                <w:kern w:val="0"/>
                <w:sz w:val="20"/>
                <w:szCs w:val="20"/>
                <w14:textFill>
                  <w14:solidFill>
                    <w14:schemeClr w14:val="tx1"/>
                  </w14:solidFill>
                </w14:textFill>
              </w:rPr>
              <w:t>e</w:t>
            </w: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/万元）</w:t>
            </w:r>
          </w:p>
        </w:tc>
      </w:tr>
      <w:tr w14:paraId="54A9BBDB">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26982FF1">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A.农、林、牧、渔业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65FA5">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92,708.00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374DAE0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sz w:val="20"/>
                <w:szCs w:val="20"/>
              </w:rPr>
              <w:t>3,952.07</w:t>
            </w: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E73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0.0426</w:t>
            </w:r>
          </w:p>
        </w:tc>
      </w:tr>
      <w:tr w14:paraId="60929E55">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7AE0123D">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B.采矿业</w:t>
            </w:r>
          </w:p>
        </w:tc>
        <w:tc>
          <w:tcPr>
            <w:tcW w:w="2413" w:type="dxa"/>
            <w:tcBorders>
              <w:top w:val="single" w:color="000000" w:sz="4" w:space="0"/>
              <w:left w:val="single" w:color="000000" w:sz="4" w:space="0"/>
              <w:bottom w:val="single" w:color="000000" w:sz="4" w:space="0"/>
              <w:right w:val="single" w:color="000000" w:sz="4" w:space="0"/>
            </w:tcBorders>
            <w:noWrap/>
            <w:vAlign w:val="center"/>
          </w:tcPr>
          <w:p w14:paraId="6C849A6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2,700.00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5A114324">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35.57</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0DF2BF2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0.0132</w:t>
            </w:r>
          </w:p>
        </w:tc>
      </w:tr>
      <w:tr w14:paraId="7DD404A0">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0BFFD221">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C.制造业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78EE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371,597.91</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2995BAC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48,317.79</w:t>
            </w: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898F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0.1300</w:t>
            </w:r>
          </w:p>
        </w:tc>
      </w:tr>
      <w:tr w14:paraId="6D4B906B">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6CEE5444">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D.电力、燃气及水的生产和供应业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525CC">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14,140.00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63F2BD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897.52</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09335C0A">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0.0635</w:t>
            </w:r>
          </w:p>
        </w:tc>
      </w:tr>
      <w:tr w14:paraId="22937E0A">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4C265241">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E.建筑业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4E2A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208,817.53</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551C2E62">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4,951.16</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557909E0">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0.0237</w:t>
            </w:r>
          </w:p>
        </w:tc>
      </w:tr>
      <w:tr w14:paraId="02E7B5F3">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5E06E89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F.交通运输、仓储和邮政业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A6F9A">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73,908.80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4AD36C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6,851.57</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17DCA90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0.0927</w:t>
            </w:r>
          </w:p>
        </w:tc>
      </w:tr>
      <w:tr w14:paraId="6C867B37">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70FCCA5D">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G.信息传输、计算机服务和软件业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6828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15,516.00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756C7B0F">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373.33</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4EB728F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0.0241</w:t>
            </w:r>
          </w:p>
        </w:tc>
      </w:tr>
      <w:tr w14:paraId="4DC30CCF">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7C2B9C3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H.批发和零售业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427B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26,932.70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29F8E98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1,535.18</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663A2F05">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0.0570</w:t>
            </w:r>
          </w:p>
        </w:tc>
      </w:tr>
      <w:tr w14:paraId="34EFF464">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5743BF5B">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I.住宿和餐饮业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430F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170.00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ED6278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2.66</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0293EEC2">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0.0157</w:t>
            </w:r>
          </w:p>
        </w:tc>
      </w:tr>
      <w:tr w14:paraId="24E140F5">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36F5BA2A">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L.租赁和商务服务业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19E95">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47,573.00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C8FDF2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49.97</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46E2D4D2">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0.0011</w:t>
            </w:r>
          </w:p>
        </w:tc>
      </w:tr>
      <w:tr w14:paraId="5B958EAF">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310CA5A3">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M.科学研究、技术服务和地质勘查业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8D93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1,279.00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F380D5E">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FF0000"/>
                <w:kern w:val="0"/>
                <w:sz w:val="20"/>
                <w:szCs w:val="20"/>
                <w:lang w:val="en-US" w:eastAsia="zh-CN"/>
              </w:rPr>
            </w:pPr>
            <w:r>
              <w:rPr>
                <w:rFonts w:hint="default" w:ascii="Times New Roman" w:hAnsi="Times New Roman" w:eastAsia="方正仿宋_GB2312" w:cs="Times New Roman"/>
                <w:sz w:val="20"/>
                <w:szCs w:val="20"/>
              </w:rPr>
              <w:t>38.50</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7023505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FF0000"/>
                <w:kern w:val="0"/>
                <w:sz w:val="20"/>
                <w:szCs w:val="20"/>
                <w:lang w:val="en-US" w:eastAsia="zh-CN"/>
              </w:rPr>
            </w:pPr>
            <w:r>
              <w:rPr>
                <w:rFonts w:hint="default" w:ascii="Times New Roman" w:hAnsi="Times New Roman" w:eastAsia="方正仿宋_GB2312" w:cs="Times New Roman"/>
                <w:sz w:val="20"/>
                <w:szCs w:val="20"/>
              </w:rPr>
              <w:t>0.0301</w:t>
            </w:r>
          </w:p>
        </w:tc>
      </w:tr>
      <w:tr w14:paraId="77FF1ABC">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2BA535BB">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N.水利、环境和公共设施管理业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9CED">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9,600.00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933D8F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5.92</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448EEA5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0.0006</w:t>
            </w:r>
          </w:p>
        </w:tc>
      </w:tr>
      <w:tr w14:paraId="173DF990">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27474F14">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O.居民服务和其他服务业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1015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4,682.00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74F77EC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142.36</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0F72DB1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0.0304</w:t>
            </w:r>
          </w:p>
        </w:tc>
      </w:tr>
      <w:tr w14:paraId="075026BF">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3A75509B">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P.教育</w:t>
            </w:r>
          </w:p>
        </w:tc>
        <w:tc>
          <w:tcPr>
            <w:tcW w:w="2413" w:type="dxa"/>
            <w:tcBorders>
              <w:top w:val="single" w:color="000000" w:sz="4" w:space="0"/>
              <w:left w:val="single" w:color="000000" w:sz="4" w:space="0"/>
              <w:bottom w:val="single" w:color="000000" w:sz="4" w:space="0"/>
              <w:right w:val="single" w:color="000000" w:sz="4" w:space="0"/>
            </w:tcBorders>
            <w:noWrap/>
            <w:vAlign w:val="center"/>
          </w:tcPr>
          <w:p w14:paraId="067BEA1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5,099.40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4C7DCB1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277.89</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431AF58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0.0545</w:t>
            </w:r>
          </w:p>
        </w:tc>
      </w:tr>
      <w:tr w14:paraId="5A2005A1">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178E39EF">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Q.卫生、社会保障和社会福利业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7170B">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25,692.00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5ED418D8">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1,655.06</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1F895E81">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0.0644</w:t>
            </w:r>
          </w:p>
        </w:tc>
      </w:tr>
      <w:tr w14:paraId="391A5EE5">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2623D066">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R.文化、体育和娱乐业</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E4763">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9,180.00</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6FF6F2D6">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512.27</w:t>
            </w:r>
          </w:p>
        </w:tc>
        <w:tc>
          <w:tcPr>
            <w:tcW w:w="1587" w:type="dxa"/>
            <w:tcBorders>
              <w:top w:val="single" w:color="000000" w:sz="4" w:space="0"/>
              <w:left w:val="single" w:color="000000" w:sz="4" w:space="0"/>
              <w:bottom w:val="single" w:color="000000" w:sz="4" w:space="0"/>
              <w:right w:val="single" w:color="000000" w:sz="4" w:space="0"/>
            </w:tcBorders>
            <w:noWrap/>
            <w:vAlign w:val="center"/>
          </w:tcPr>
          <w:p w14:paraId="6E4BCC42">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0.0558</w:t>
            </w:r>
          </w:p>
        </w:tc>
      </w:tr>
      <w:tr w14:paraId="41BA38C8">
        <w:tblPrEx>
          <w:tblCellMar>
            <w:top w:w="0" w:type="dxa"/>
            <w:left w:w="108" w:type="dxa"/>
            <w:bottom w:w="0" w:type="dxa"/>
            <w:right w:w="108" w:type="dxa"/>
          </w:tblCellMar>
        </w:tblPrEx>
        <w:trPr>
          <w:trHeight w:val="0" w:hRule="atLeast"/>
          <w:jc w:val="center"/>
        </w:trPr>
        <w:tc>
          <w:tcPr>
            <w:tcW w:w="3223" w:type="dxa"/>
            <w:tcBorders>
              <w:top w:val="single" w:color="000000" w:sz="4" w:space="0"/>
              <w:left w:val="single" w:color="000000" w:sz="4" w:space="0"/>
              <w:bottom w:val="single" w:color="000000" w:sz="4" w:space="0"/>
              <w:right w:val="single" w:color="000000" w:sz="4" w:space="0"/>
            </w:tcBorders>
            <w:noWrap/>
            <w:vAlign w:val="center"/>
          </w:tcPr>
          <w:p w14:paraId="1E668AA4">
            <w:pPr>
              <w:widowControl/>
              <w:snapToGrid w:val="0"/>
              <w:spacing w:before="0" w:beforeLines="0" w:line="240" w:lineRule="auto"/>
              <w:ind w:left="0" w:leftChars="0" w:right="0" w:rightChars="0" w:firstLine="0" w:firstLineChars="0"/>
              <w:jc w:val="left"/>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bCs/>
                <w:color w:val="000000" w:themeColor="text1"/>
                <w:kern w:val="0"/>
                <w:sz w:val="20"/>
                <w:szCs w:val="20"/>
                <w14:textFill>
                  <w14:solidFill>
                    <w14:schemeClr w14:val="tx1"/>
                  </w14:solidFill>
                </w14:textFill>
              </w:rPr>
              <w:t>总计</w:t>
            </w:r>
          </w:p>
        </w:tc>
        <w:tc>
          <w:tcPr>
            <w:tcW w:w="2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F0F84">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bCs/>
                <w:color w:val="000000"/>
                <w:kern w:val="0"/>
                <w:sz w:val="20"/>
                <w:szCs w:val="20"/>
                <w:lang w:val="en-US" w:eastAsia="zh-CN"/>
              </w:rPr>
            </w:pPr>
            <w:r>
              <w:rPr>
                <w:rFonts w:hint="default" w:ascii="Times New Roman" w:hAnsi="Times New Roman" w:eastAsia="方正仿宋_GB2312" w:cs="Times New Roman"/>
                <w:b/>
                <w:sz w:val="20"/>
                <w:szCs w:val="20"/>
              </w:rPr>
              <w:t>909,596.34</w:t>
            </w:r>
          </w:p>
        </w:tc>
        <w:tc>
          <w:tcPr>
            <w:tcW w:w="2563" w:type="dxa"/>
            <w:tcBorders>
              <w:top w:val="single" w:color="000000" w:sz="4" w:space="0"/>
              <w:left w:val="single" w:color="000000" w:sz="4" w:space="0"/>
              <w:bottom w:val="single" w:color="000000" w:sz="4" w:space="0"/>
              <w:right w:val="single" w:color="000000" w:sz="4" w:space="0"/>
            </w:tcBorders>
            <w:noWrap/>
            <w:vAlign w:val="center"/>
          </w:tcPr>
          <w:p w14:paraId="0229A30D">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sz w:val="20"/>
                <w:szCs w:val="20"/>
              </w:rPr>
              <w:t>69,598.81</w:t>
            </w:r>
          </w:p>
        </w:tc>
        <w:tc>
          <w:tcPr>
            <w:tcW w:w="15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5B599">
            <w:pPr>
              <w:widowControl/>
              <w:snapToGrid w:val="0"/>
              <w:spacing w:before="0" w:beforeLines="0" w:line="240" w:lineRule="auto"/>
              <w:ind w:left="0" w:leftChars="0" w:right="0" w:rightChars="0" w:firstLine="0" w:firstLineChars="0"/>
              <w:jc w:val="right"/>
              <w:rPr>
                <w:rFonts w:hint="default" w:ascii="Times New Roman" w:hAnsi="Times New Roman" w:eastAsia="方正仿宋_GB2312" w:cs="Times New Roman"/>
                <w:b/>
                <w:bCs/>
                <w:color w:val="000000"/>
                <w:kern w:val="0"/>
                <w:sz w:val="20"/>
                <w:szCs w:val="20"/>
                <w:lang w:val="en-US" w:eastAsia="zh-CN"/>
              </w:rPr>
            </w:pPr>
            <w:r>
              <w:rPr>
                <w:rFonts w:hint="default" w:ascii="Times New Roman" w:hAnsi="Times New Roman" w:eastAsia="方正仿宋_GB2312" w:cs="Times New Roman"/>
                <w:b/>
                <w:sz w:val="20"/>
                <w:szCs w:val="20"/>
              </w:rPr>
              <w:t>0.0765</w:t>
            </w:r>
          </w:p>
        </w:tc>
      </w:tr>
    </w:tbl>
    <w:p w14:paraId="44F117F4">
      <w:pPr>
        <w:ind w:firstLine="640"/>
        <w:rPr>
          <w:rFonts w:hint="default" w:ascii="Times New Roman" w:hAnsi="Times New Roman" w:eastAsia="方正仿宋_GB2312" w:cs="Times New Roman"/>
          <w:b w:val="0"/>
          <w:bCs/>
          <w:color w:val="000000" w:themeColor="text1"/>
          <w14:textFill>
            <w14:solidFill>
              <w14:schemeClr w14:val="tx1"/>
            </w14:solidFill>
          </w14:textFill>
        </w:rPr>
      </w:pPr>
      <w:r>
        <w:rPr>
          <w:rFonts w:hint="default" w:ascii="Times New Roman" w:hAnsi="Times New Roman" w:eastAsia="方正仿宋_GB2312" w:cs="Times New Roman"/>
          <w:b w:val="0"/>
          <w:bCs/>
          <w:color w:val="000000" w:themeColor="text1"/>
          <w14:textFill>
            <w14:solidFill>
              <w14:schemeClr w14:val="tx1"/>
            </w14:solidFill>
          </w14:textFill>
        </w:rPr>
        <w:br w:type="page"/>
      </w:r>
    </w:p>
    <w:p w14:paraId="7A5AF833">
      <w:pPr>
        <w:pStyle w:val="3"/>
        <w:bidi w:val="0"/>
        <w:rPr>
          <w:rFonts w:hint="default" w:ascii="Times New Roman" w:hAnsi="Times New Roman" w:eastAsia="方正仿宋_GB2312" w:cs="Times New Roman"/>
          <w:b w:val="0"/>
          <w:bCs/>
          <w:color w:val="000000" w:themeColor="text1"/>
          <w:kern w:val="2"/>
          <w:szCs w:val="32"/>
          <w:lang w:val="en-US" w:eastAsia="zh-CN"/>
          <w14:textFill>
            <w14:solidFill>
              <w14:schemeClr w14:val="tx1"/>
            </w14:solidFill>
          </w14:textFill>
        </w:rPr>
      </w:pPr>
      <w:bookmarkStart w:id="41" w:name="_Toc10171"/>
      <w:bookmarkStart w:id="42" w:name="_Toc20418"/>
      <w:r>
        <w:rPr>
          <w:rFonts w:hint="default" w:ascii="Times New Roman" w:hAnsi="Times New Roman" w:eastAsia="方正仿宋_GB2312" w:cs="Times New Roman"/>
          <w:b w:val="0"/>
          <w:bCs/>
          <w:lang w:val="en-US" w:eastAsia="zh-CN"/>
        </w:rPr>
        <w:t>第八章绿色资产的节能减排</w:t>
      </w:r>
      <w:bookmarkEnd w:id="41"/>
      <w:bookmarkEnd w:id="42"/>
    </w:p>
    <w:p w14:paraId="57781ADA">
      <w:pPr>
        <w:pStyle w:val="5"/>
        <w:bidi w:val="0"/>
        <w:rPr>
          <w:rFonts w:hint="default"/>
          <w:lang w:val="en-US" w:eastAsia="zh-CN"/>
        </w:rPr>
      </w:pPr>
      <w:bookmarkStart w:id="43" w:name="_Toc22085"/>
      <w:bookmarkStart w:id="44" w:name="_Toc14382"/>
      <w:bookmarkStart w:id="45" w:name="_Toc28353"/>
      <w:r>
        <w:rPr>
          <w:rFonts w:hint="default"/>
          <w:lang w:val="en-US" w:eastAsia="zh-CN"/>
        </w:rPr>
        <w:t>8.1绿色贷款</w:t>
      </w:r>
      <w:bookmarkEnd w:id="43"/>
      <w:bookmarkEnd w:id="44"/>
      <w:bookmarkEnd w:id="45"/>
    </w:p>
    <w:p w14:paraId="3628108C">
      <w:pPr>
        <w:pageBreakBefore w:val="0"/>
        <w:widowControl/>
        <w:wordWrap/>
        <w:overflowPunct/>
        <w:topLinePunct w:val="0"/>
        <w:bidi w:val="0"/>
        <w:spacing w:line="560" w:lineRule="exact"/>
        <w:ind w:firstLine="504" w:firstLineChars="200"/>
        <w:jc w:val="left"/>
        <w:outlineLvl w:val="9"/>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lang w:val="en-US" w:eastAsia="zh-CN"/>
        </w:rPr>
        <w:t>报告年度内本行绿色信贷情况如下表。</w:t>
      </w:r>
    </w:p>
    <w:p w14:paraId="35A7346C">
      <w:pPr>
        <w:pageBreakBefore w:val="0"/>
        <w:widowControl/>
        <w:wordWrap/>
        <w:overflowPunct/>
        <w:topLinePunct w:val="0"/>
        <w:bidi w:val="0"/>
        <w:spacing w:line="560" w:lineRule="exact"/>
        <w:ind w:firstLine="0" w:firstLineChars="0"/>
        <w:jc w:val="center"/>
        <w:outlineLvl w:val="9"/>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8-1绿色信贷</w:t>
      </w:r>
      <w:r>
        <w:rPr>
          <w:rFonts w:hint="default" w:ascii="Times New Roman" w:hAnsi="Times New Roman" w:eastAsia="方正仿宋_GB2312" w:cs="Times New Roman"/>
          <w:b w:val="0"/>
          <w:bCs/>
          <w:color w:val="000000" w:themeColor="text1"/>
          <w:kern w:val="0"/>
          <w:sz w:val="20"/>
          <w:szCs w:val="20"/>
          <w:lang w:eastAsia="zh-CN"/>
          <w14:textFill>
            <w14:solidFill>
              <w14:schemeClr w14:val="tx1"/>
            </w14:solidFill>
          </w14:textFill>
        </w:rPr>
        <w:t>－</w:t>
      </w:r>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项目业务的节能减排</w:t>
      </w:r>
    </w:p>
    <w:tbl>
      <w:tblPr>
        <w:tblStyle w:val="22"/>
        <w:tblW w:w="97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794"/>
        <w:gridCol w:w="4193"/>
        <w:gridCol w:w="2795"/>
      </w:tblGrid>
      <w:tr w14:paraId="29DEB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AB0F6D">
            <w:pPr>
              <w:pageBreakBefore w:val="0"/>
              <w:wordWrap/>
              <w:overflowPunct/>
              <w:topLinePunct w:val="0"/>
              <w:bidi w:val="0"/>
              <w:snapToGrid w:val="0"/>
              <w:spacing w:before="0" w:beforeLines="0" w:line="240" w:lineRule="auto"/>
              <w:ind w:firstLine="0" w:firstLineChars="0"/>
              <w:rPr>
                <w:rFonts w:hint="default" w:ascii="Times New Roman" w:hAnsi="Times New Roman" w:eastAsia="方正仿宋_GB2312" w:cs="Times New Roman"/>
                <w:b w:val="0"/>
                <w:bCs/>
                <w:sz w:val="20"/>
                <w:szCs w:val="20"/>
              </w:rPr>
            </w:pPr>
            <w:r>
              <w:rPr>
                <w:rFonts w:hint="default" w:ascii="Times New Roman" w:hAnsi="Times New Roman" w:eastAsia="方正仿宋_GB2312" w:cs="Times New Roman"/>
                <w:b w:val="0"/>
                <w:bCs/>
                <w:sz w:val="20"/>
                <w:szCs w:val="20"/>
              </w:rPr>
              <w:t>指标名称</w:t>
            </w:r>
          </w:p>
        </w:tc>
        <w:tc>
          <w:tcPr>
            <w:tcW w:w="2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49E23">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项目业务的节能减排</w:t>
            </w:r>
          </w:p>
        </w:tc>
      </w:tr>
      <w:tr w14:paraId="4ADE9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01E8FD">
            <w:pPr>
              <w:pageBreakBefore w:val="0"/>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i w:val="0"/>
                <w:iCs w:val="0"/>
                <w:color w:val="000000" w:themeColor="text1"/>
                <w:sz w:val="20"/>
                <w:szCs w:val="20"/>
                <w:u w:val="none"/>
                <w14:textFill>
                  <w14:solidFill>
                    <w14:schemeClr w14:val="tx1"/>
                  </w14:solidFill>
                </w14:textFill>
              </w:rPr>
            </w:pPr>
          </w:p>
        </w:tc>
        <w:tc>
          <w:tcPr>
            <w:tcW w:w="27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BD0B0">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2025年</w:t>
            </w:r>
          </w:p>
        </w:tc>
      </w:tr>
      <w:tr w14:paraId="39C22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29BE62">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绿色信贷余额及占比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CB7EE4">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绿色信贷余额（万元）</w:t>
            </w:r>
          </w:p>
        </w:tc>
        <w:tc>
          <w:tcPr>
            <w:tcW w:w="2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A9DA3">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22,644.49</w:t>
            </w:r>
          </w:p>
        </w:tc>
      </w:tr>
      <w:tr w14:paraId="7395E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C3F5A5">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绿色信贷余额及占比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8575E1">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各项贷款余额（万元）</w:t>
            </w:r>
          </w:p>
        </w:tc>
        <w:tc>
          <w:tcPr>
            <w:tcW w:w="2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98B9E">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994,274.84</w:t>
            </w:r>
          </w:p>
        </w:tc>
      </w:tr>
      <w:tr w14:paraId="0BDE8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3C3AB3">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绿色信贷余额及占比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979AA">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绿色信贷占比（%）</w:t>
            </w:r>
          </w:p>
        </w:tc>
        <w:tc>
          <w:tcPr>
            <w:tcW w:w="2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52E1">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2.28%</w:t>
            </w:r>
          </w:p>
        </w:tc>
      </w:tr>
      <w:tr w14:paraId="17144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2417C1">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绿色信贷余额及占比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05DD0C">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绿色信贷不良贷款余额（万元）</w:t>
            </w:r>
          </w:p>
        </w:tc>
        <w:tc>
          <w:tcPr>
            <w:tcW w:w="2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D37D8">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r>
      <w:tr w14:paraId="1EF9E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2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9C05F">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绿色信贷余额及占比</w:t>
            </w:r>
          </w:p>
        </w:tc>
        <w:tc>
          <w:tcPr>
            <w:tcW w:w="41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9250C">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绿色信贷不良率（%）</w:t>
            </w:r>
          </w:p>
        </w:tc>
        <w:tc>
          <w:tcPr>
            <w:tcW w:w="2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16EA1">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r>
    </w:tbl>
    <w:p w14:paraId="683C5D8C">
      <w:pPr>
        <w:bidi w:val="0"/>
        <w:ind w:left="0" w:leftChars="0" w:firstLine="0" w:firstLineChars="0"/>
        <w:rPr>
          <w:rFonts w:hint="default" w:ascii="Times New Roman" w:hAnsi="Times New Roman" w:eastAsia="方正仿宋_GB2312" w:cs="Times New Roman"/>
          <w:lang w:val="en-US" w:eastAsia="zh-CN"/>
        </w:rPr>
      </w:pPr>
    </w:p>
    <w:p w14:paraId="49E1B409">
      <w:pPr>
        <w:pStyle w:val="2"/>
        <w:rPr>
          <w:rFonts w:hint="default" w:ascii="Times New Roman" w:hAnsi="Times New Roman" w:eastAsia="方正仿宋_GB2312" w:cs="Times New Roman"/>
          <w:lang w:val="en-US" w:eastAsia="zh-CN"/>
        </w:rPr>
      </w:pPr>
    </w:p>
    <w:p w14:paraId="0A3D7090">
      <w:pPr>
        <w:ind w:firstLine="0" w:firstLineChars="0"/>
        <w:rPr>
          <w:rFonts w:hint="default" w:ascii="Times New Roman" w:hAnsi="Times New Roman" w:eastAsia="方正仿宋_GB2312" w:cs="Times New Roman"/>
          <w:b/>
          <w:bCs/>
          <w:snapToGrid w:val="0"/>
          <w:color w:val="000000" w:themeColor="text1"/>
          <w:spacing w:val="6"/>
          <w:kern w:val="0"/>
          <w:sz w:val="24"/>
          <w:szCs w:val="24"/>
          <w14:textFill>
            <w14:solidFill>
              <w14:schemeClr w14:val="tx1"/>
            </w14:solidFill>
          </w14:textFill>
        </w:rPr>
        <w:sectPr>
          <w:headerReference r:id="rId22" w:type="first"/>
          <w:headerReference r:id="rId20" w:type="default"/>
          <w:footerReference r:id="rId23" w:type="default"/>
          <w:headerReference r:id="rId21" w:type="even"/>
          <w:pgSz w:w="11906" w:h="16838"/>
          <w:pgMar w:top="998" w:right="998" w:bottom="1451" w:left="1338" w:header="851" w:footer="992" w:gutter="0"/>
          <w:pgNumType w:fmt="decimal"/>
          <w:cols w:space="425" w:num="1"/>
          <w:docGrid w:type="lines" w:linePitch="312" w:charSpace="0"/>
        </w:sectPr>
      </w:pPr>
    </w:p>
    <w:p w14:paraId="5DD5DE22">
      <w:pPr>
        <w:pStyle w:val="5"/>
        <w:bidi w:val="0"/>
        <w:rPr>
          <w:rFonts w:hint="default"/>
          <w:lang w:val="en-US" w:eastAsia="zh-CN"/>
        </w:rPr>
      </w:pPr>
      <w:bookmarkStart w:id="46" w:name="_Toc6687"/>
      <w:bookmarkStart w:id="47" w:name="_Toc18937"/>
      <w:bookmarkStart w:id="48" w:name="_Toc30034"/>
      <w:r>
        <w:rPr>
          <w:rFonts w:hint="default"/>
          <w:lang w:val="en-US" w:eastAsia="zh-CN"/>
        </w:rPr>
        <w:t>8.2 绿色产业</w:t>
      </w:r>
      <w:bookmarkEnd w:id="46"/>
      <w:bookmarkEnd w:id="47"/>
      <w:bookmarkEnd w:id="48"/>
    </w:p>
    <w:p w14:paraId="559670A3">
      <w:pPr>
        <w:pageBreakBefore w:val="0"/>
        <w:widowControl/>
        <w:wordWrap/>
        <w:overflowPunct/>
        <w:topLinePunct w:val="0"/>
        <w:bidi w:val="0"/>
        <w:spacing w:line="560" w:lineRule="exact"/>
        <w:ind w:firstLine="504" w:firstLineChars="200"/>
        <w:jc w:val="left"/>
        <w:outlineLvl w:val="9"/>
        <w:rPr>
          <w:rFonts w:hint="default" w:ascii="Times New Roman" w:hAnsi="Times New Roman" w:eastAsia="方正仿宋_GB2312" w:cs="Times New Roman"/>
          <w:sz w:val="24"/>
          <w:szCs w:val="24"/>
          <w:lang w:val="en-US" w:eastAsia="zh-CN"/>
        </w:rPr>
      </w:pPr>
      <w:r>
        <w:rPr>
          <w:rFonts w:hint="default" w:ascii="Times New Roman" w:hAnsi="Times New Roman" w:eastAsia="方正仿宋_GB2312" w:cs="Times New Roman"/>
          <w:sz w:val="24"/>
          <w:szCs w:val="24"/>
          <w:lang w:val="en-US" w:eastAsia="zh-CN"/>
        </w:rPr>
        <w:t>报告年度内本行绿色产业情况如下表。</w:t>
      </w:r>
    </w:p>
    <w:p w14:paraId="5CA0F072">
      <w:pPr>
        <w:pageBreakBefore w:val="0"/>
        <w:widowControl/>
        <w:wordWrap/>
        <w:overflowPunct/>
        <w:topLinePunct w:val="0"/>
        <w:bidi w:val="0"/>
        <w:spacing w:line="560" w:lineRule="exact"/>
        <w:ind w:firstLine="0" w:firstLineChars="0"/>
        <w:jc w:val="center"/>
        <w:outlineLvl w:val="1"/>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pPr>
      <w:bookmarkStart w:id="49" w:name="_Toc23582"/>
      <w:bookmarkStart w:id="50" w:name="_Toc32618"/>
      <w:r>
        <w:rPr>
          <w:rFonts w:hint="default" w:ascii="Times New Roman" w:hAnsi="Times New Roman" w:eastAsia="方正仿宋_GB2312" w:cs="Times New Roman"/>
          <w:b w:val="0"/>
          <w:bCs/>
          <w:color w:val="000000" w:themeColor="text1"/>
          <w:kern w:val="0"/>
          <w:sz w:val="20"/>
          <w:szCs w:val="20"/>
          <w14:textFill>
            <w14:solidFill>
              <w14:schemeClr w14:val="tx1"/>
            </w14:solidFill>
          </w14:textFill>
        </w:rPr>
        <w:t>8-2绿色信贷（六大绿色产业）的节能减排</w:t>
      </w:r>
      <w:bookmarkEnd w:id="49"/>
      <w:bookmarkEnd w:id="50"/>
    </w:p>
    <w:tbl>
      <w:tblPr>
        <w:tblStyle w:val="2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8"/>
        <w:gridCol w:w="3190"/>
        <w:gridCol w:w="1531"/>
        <w:gridCol w:w="1490"/>
        <w:gridCol w:w="1528"/>
        <w:gridCol w:w="1531"/>
        <w:gridCol w:w="1963"/>
        <w:gridCol w:w="1353"/>
        <w:gridCol w:w="1151"/>
      </w:tblGrid>
      <w:tr w14:paraId="32085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1389" w:type="pct"/>
            <w:gridSpan w:val="2"/>
            <w:vMerge w:val="restart"/>
            <w:tcBorders>
              <w:top w:val="single" w:color="000000" w:sz="4" w:space="0"/>
              <w:left w:val="single" w:color="000000" w:sz="4" w:space="0"/>
              <w:right w:val="single" w:color="000000" w:sz="4" w:space="0"/>
            </w:tcBorders>
            <w:shd w:val="clear" w:color="auto" w:fill="auto"/>
            <w:vAlign w:val="center"/>
          </w:tcPr>
          <w:p w14:paraId="64530B23">
            <w:pPr>
              <w:pageBreakBefore w:val="0"/>
              <w:wordWrap/>
              <w:overflowPunct/>
              <w:topLinePunct w:val="0"/>
              <w:bidi w:val="0"/>
              <w:snapToGrid w:val="0"/>
              <w:spacing w:before="0" w:beforeLines="0" w:line="240" w:lineRule="auto"/>
              <w:ind w:firstLine="0" w:firstLineChars="0"/>
              <w:rPr>
                <w:rFonts w:hint="default" w:ascii="Times New Roman" w:hAnsi="Times New Roman" w:eastAsia="方正仿宋_GB2312" w:cs="Times New Roman"/>
                <w:b w:val="0"/>
                <w:bCs/>
                <w:sz w:val="20"/>
                <w:szCs w:val="20"/>
              </w:rPr>
            </w:pPr>
            <w:r>
              <w:rPr>
                <w:rFonts w:hint="default" w:ascii="Times New Roman" w:hAnsi="Times New Roman" w:eastAsia="方正仿宋_GB2312" w:cs="Times New Roman"/>
                <w:b w:val="0"/>
                <w:bCs/>
                <w:sz w:val="20"/>
                <w:szCs w:val="20"/>
              </w:rPr>
              <w:t>指标名称</w:t>
            </w:r>
          </w:p>
        </w:tc>
        <w:tc>
          <w:tcPr>
            <w:tcW w:w="3610" w:type="pct"/>
            <w:gridSpan w:val="7"/>
            <w:tcBorders>
              <w:top w:val="single" w:color="000000" w:sz="4" w:space="0"/>
              <w:left w:val="single" w:color="000000" w:sz="4" w:space="0"/>
              <w:bottom w:val="single" w:color="000000" w:sz="4" w:space="0"/>
              <w:right w:val="single" w:color="000000" w:sz="4" w:space="0"/>
            </w:tcBorders>
            <w:shd w:val="clear" w:color="auto" w:fill="auto"/>
            <w:noWrap/>
            <w:vAlign w:val="top"/>
          </w:tcPr>
          <w:p w14:paraId="7297FA48">
            <w:pPr>
              <w:keepNext w:val="0"/>
              <w:keepLines w:val="0"/>
              <w:pageBreakBefore w:val="0"/>
              <w:widowControl/>
              <w:suppressLineNumbers w:val="0"/>
              <w:wordWrap/>
              <w:overflowPunct/>
              <w:topLinePunct w:val="0"/>
              <w:bidi w:val="0"/>
              <w:snapToGrid w:val="0"/>
              <w:spacing w:before="0" w:beforeLines="0" w:line="240" w:lineRule="auto"/>
              <w:ind w:left="0" w:leftChars="0" w:firstLine="0" w:firstLineChars="0"/>
              <w:jc w:val="center"/>
              <w:textAlignment w:val="top"/>
              <w:rPr>
                <w:rFonts w:hint="default" w:ascii="Times New Roman" w:hAnsi="Times New Roman" w:eastAsia="方正仿宋_GB2312" w:cs="Times New Roman"/>
                <w:b w:val="0"/>
                <w:bCs/>
                <w:i w:val="0"/>
                <w:iCs w:val="0"/>
                <w:color w:val="000000" w:themeColor="text1"/>
                <w:sz w:val="20"/>
                <w:szCs w:val="20"/>
                <w:u w:val="none"/>
                <w14:textFill>
                  <w14:solidFill>
                    <w14:schemeClr w14:val="tx1"/>
                  </w14:solidFill>
                </w14:textFill>
              </w:rPr>
            </w:pPr>
            <w:r>
              <w:rPr>
                <w:rFonts w:hint="default" w:ascii="Times New Roman" w:hAnsi="Times New Roman" w:eastAsia="方正仿宋_GB2312" w:cs="Times New Roman"/>
                <w:b w:val="0"/>
                <w:bCs/>
                <w:color w:val="000000" w:themeColor="text1"/>
                <w:kern w:val="0"/>
                <w:sz w:val="20"/>
                <w:szCs w:val="20"/>
                <w:lang w:val="en-US" w:eastAsia="zh-CN"/>
                <w14:textFill>
                  <w14:solidFill>
                    <w14:schemeClr w14:val="tx1"/>
                  </w14:solidFill>
                </w14:textFill>
              </w:rPr>
              <w:t>绿色信贷的节能减排（六大绿色产业）</w:t>
            </w:r>
          </w:p>
        </w:tc>
      </w:tr>
      <w:tr w14:paraId="58605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1389" w:type="pct"/>
            <w:gridSpan w:val="2"/>
            <w:vMerge w:val="continue"/>
            <w:tcBorders>
              <w:left w:val="single" w:color="000000" w:sz="4" w:space="0"/>
              <w:bottom w:val="single" w:color="000000" w:sz="4" w:space="0"/>
              <w:right w:val="single" w:color="000000" w:sz="4" w:space="0"/>
            </w:tcBorders>
            <w:shd w:val="clear" w:color="auto" w:fill="auto"/>
            <w:vAlign w:val="top"/>
          </w:tcPr>
          <w:p w14:paraId="0B722E5F">
            <w:pPr>
              <w:pageBreakBefore w:val="0"/>
              <w:wordWrap/>
              <w:overflowPunct/>
              <w:topLinePunct w:val="0"/>
              <w:bidi w:val="0"/>
              <w:snapToGrid w:val="0"/>
              <w:spacing w:before="0" w:beforeLines="0" w:line="240" w:lineRule="auto"/>
              <w:ind w:left="0" w:leftChars="0" w:firstLine="0" w:firstLineChars="0"/>
              <w:jc w:val="left"/>
              <w:rPr>
                <w:rFonts w:hint="default" w:ascii="Times New Roman" w:hAnsi="Times New Roman" w:eastAsia="方正仿宋_GB2312" w:cs="Times New Roman"/>
                <w:b w:val="0"/>
                <w:bCs/>
                <w:i w:val="0"/>
                <w:iCs w:val="0"/>
                <w:color w:val="000000" w:themeColor="text1"/>
                <w:sz w:val="20"/>
                <w:szCs w:val="20"/>
                <w:u w:val="none"/>
                <w14:textFill>
                  <w14:solidFill>
                    <w14:schemeClr w14:val="tx1"/>
                  </w14:solidFill>
                </w14:textFill>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top"/>
          </w:tcPr>
          <w:p w14:paraId="4D367B44">
            <w:pPr>
              <w:keepNext w:val="0"/>
              <w:keepLines w:val="0"/>
              <w:pageBreakBefore w:val="0"/>
              <w:widowControl/>
              <w:suppressLineNumbers w:val="0"/>
              <w:wordWrap/>
              <w:overflowPunct/>
              <w:topLinePunct w:val="0"/>
              <w:bidi w:val="0"/>
              <w:snapToGrid w:val="0"/>
              <w:spacing w:before="0" w:beforeLines="0" w:line="240" w:lineRule="auto"/>
              <w:ind w:left="0" w:leftChars="0" w:firstLine="0" w:firstLineChars="0"/>
              <w:jc w:val="left"/>
              <w:textAlignment w:val="top"/>
              <w:rPr>
                <w:rFonts w:hint="default" w:ascii="Times New Roman" w:hAnsi="Times New Roman" w:eastAsia="方正仿宋_GB2312" w:cs="Times New Roman"/>
                <w:b w:val="0"/>
                <w:bCs/>
                <w:i w:val="0"/>
                <w:iCs w:val="0"/>
                <w:color w:val="000000" w:themeColor="text1"/>
                <w:sz w:val="20"/>
                <w:szCs w:val="20"/>
                <w:u w:val="none"/>
                <w:lang w:val="en-US"/>
                <w14:textFill>
                  <w14:solidFill>
                    <w14:schemeClr w14:val="tx1"/>
                  </w14:solidFill>
                </w14:textFill>
              </w:rPr>
            </w:pPr>
            <w:r>
              <w:rPr>
                <w:rFonts w:hint="default" w:ascii="Times New Roman" w:hAnsi="Times New Roman" w:eastAsia="方正仿宋_GB2312" w:cs="Times New Roman"/>
                <w:b w:val="0"/>
                <w:bCs/>
                <w:i w:val="0"/>
                <w:iCs w:val="0"/>
                <w:color w:val="000000" w:themeColor="text1"/>
                <w:kern w:val="0"/>
                <w:sz w:val="20"/>
                <w:szCs w:val="20"/>
                <w:u w:val="none"/>
                <w:lang w:val="en-US" w:eastAsia="zh-CN" w:bidi="ar"/>
                <w14:textFill>
                  <w14:solidFill>
                    <w14:schemeClr w14:val="tx1"/>
                  </w14:solidFill>
                </w14:textFill>
              </w:rPr>
              <w:t>节能环保产业</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top"/>
          </w:tcPr>
          <w:p w14:paraId="03C6DC2E">
            <w:pPr>
              <w:keepNext w:val="0"/>
              <w:keepLines w:val="0"/>
              <w:pageBreakBefore w:val="0"/>
              <w:widowControl/>
              <w:suppressLineNumbers w:val="0"/>
              <w:wordWrap/>
              <w:overflowPunct/>
              <w:topLinePunct w:val="0"/>
              <w:bidi w:val="0"/>
              <w:snapToGrid w:val="0"/>
              <w:spacing w:before="0" w:beforeLines="0" w:line="240" w:lineRule="auto"/>
              <w:ind w:left="0" w:leftChars="0" w:firstLine="0" w:firstLineChars="0"/>
              <w:jc w:val="left"/>
              <w:textAlignment w:val="top"/>
              <w:rPr>
                <w:rFonts w:hint="default" w:ascii="Times New Roman" w:hAnsi="Times New Roman" w:eastAsia="方正仿宋_GB2312" w:cs="Times New Roman"/>
                <w:b w:val="0"/>
                <w:bCs/>
                <w:i w:val="0"/>
                <w:iCs w:val="0"/>
                <w:color w:val="000000" w:themeColor="text1"/>
                <w:sz w:val="20"/>
                <w:szCs w:val="20"/>
                <w:u w:val="none"/>
                <w14:textFill>
                  <w14:solidFill>
                    <w14:schemeClr w14:val="tx1"/>
                  </w14:solidFill>
                </w14:textFill>
              </w:rPr>
            </w:pPr>
            <w:r>
              <w:rPr>
                <w:rFonts w:hint="default" w:ascii="Times New Roman" w:hAnsi="Times New Roman" w:eastAsia="方正仿宋_GB2312" w:cs="Times New Roman"/>
                <w:b w:val="0"/>
                <w:bCs/>
                <w:i w:val="0"/>
                <w:iCs w:val="0"/>
                <w:color w:val="000000" w:themeColor="text1"/>
                <w:kern w:val="0"/>
                <w:sz w:val="20"/>
                <w:szCs w:val="20"/>
                <w:u w:val="none"/>
                <w:lang w:val="en-US" w:eastAsia="zh-CN" w:bidi="ar"/>
                <w14:textFill>
                  <w14:solidFill>
                    <w14:schemeClr w14:val="tx1"/>
                  </w14:solidFill>
                </w14:textFill>
              </w:rPr>
              <w:t>清洁生产产业</w:t>
            </w:r>
          </w:p>
        </w:tc>
        <w:tc>
          <w:tcPr>
            <w:tcW w:w="523" w:type="pct"/>
            <w:tcBorders>
              <w:top w:val="single" w:color="000000" w:sz="4" w:space="0"/>
              <w:left w:val="single" w:color="000000" w:sz="4" w:space="0"/>
              <w:bottom w:val="single" w:color="000000" w:sz="4" w:space="0"/>
              <w:right w:val="single" w:color="000000" w:sz="4" w:space="0"/>
            </w:tcBorders>
            <w:shd w:val="clear" w:color="auto" w:fill="auto"/>
            <w:vAlign w:val="top"/>
          </w:tcPr>
          <w:p w14:paraId="035C7D83">
            <w:pPr>
              <w:keepNext w:val="0"/>
              <w:keepLines w:val="0"/>
              <w:pageBreakBefore w:val="0"/>
              <w:widowControl/>
              <w:suppressLineNumbers w:val="0"/>
              <w:wordWrap/>
              <w:overflowPunct/>
              <w:topLinePunct w:val="0"/>
              <w:bidi w:val="0"/>
              <w:snapToGrid w:val="0"/>
              <w:spacing w:before="0" w:beforeLines="0" w:line="240" w:lineRule="auto"/>
              <w:ind w:left="0" w:leftChars="0" w:firstLine="0" w:firstLineChars="0"/>
              <w:jc w:val="left"/>
              <w:textAlignment w:val="top"/>
              <w:rPr>
                <w:rFonts w:hint="default" w:ascii="Times New Roman" w:hAnsi="Times New Roman" w:eastAsia="方正仿宋_GB2312" w:cs="Times New Roman"/>
                <w:b w:val="0"/>
                <w:bCs/>
                <w:i w:val="0"/>
                <w:iCs w:val="0"/>
                <w:color w:val="000000" w:themeColor="text1"/>
                <w:sz w:val="20"/>
                <w:szCs w:val="20"/>
                <w:u w:val="none"/>
                <w14:textFill>
                  <w14:solidFill>
                    <w14:schemeClr w14:val="tx1"/>
                  </w14:solidFill>
                </w14:textFill>
              </w:rPr>
            </w:pPr>
            <w:r>
              <w:rPr>
                <w:rFonts w:hint="default" w:ascii="Times New Roman" w:hAnsi="Times New Roman" w:eastAsia="方正仿宋_GB2312" w:cs="Times New Roman"/>
                <w:b w:val="0"/>
                <w:bCs/>
                <w:i w:val="0"/>
                <w:iCs w:val="0"/>
                <w:color w:val="000000" w:themeColor="text1"/>
                <w:kern w:val="0"/>
                <w:sz w:val="20"/>
                <w:szCs w:val="20"/>
                <w:u w:val="none"/>
                <w:lang w:val="en-US" w:eastAsia="zh-CN" w:bidi="ar"/>
                <w14:textFill>
                  <w14:solidFill>
                    <w14:schemeClr w14:val="tx1"/>
                  </w14:solidFill>
                </w14:textFill>
              </w:rPr>
              <w:t>清洁能源产业</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top"/>
          </w:tcPr>
          <w:p w14:paraId="465FA472">
            <w:pPr>
              <w:keepNext w:val="0"/>
              <w:keepLines w:val="0"/>
              <w:pageBreakBefore w:val="0"/>
              <w:widowControl/>
              <w:suppressLineNumbers w:val="0"/>
              <w:wordWrap/>
              <w:overflowPunct/>
              <w:topLinePunct w:val="0"/>
              <w:bidi w:val="0"/>
              <w:snapToGrid w:val="0"/>
              <w:spacing w:before="0" w:beforeLines="0" w:line="240" w:lineRule="auto"/>
              <w:ind w:left="0" w:leftChars="0" w:firstLine="0" w:firstLineChars="0"/>
              <w:jc w:val="left"/>
              <w:textAlignment w:val="top"/>
              <w:rPr>
                <w:rFonts w:hint="default" w:ascii="Times New Roman" w:hAnsi="Times New Roman" w:eastAsia="方正仿宋_GB2312" w:cs="Times New Roman"/>
                <w:b w:val="0"/>
                <w:bCs/>
                <w:i w:val="0"/>
                <w:iCs w:val="0"/>
                <w:color w:val="000000" w:themeColor="text1"/>
                <w:sz w:val="20"/>
                <w:szCs w:val="20"/>
                <w:u w:val="none"/>
                <w14:textFill>
                  <w14:solidFill>
                    <w14:schemeClr w14:val="tx1"/>
                  </w14:solidFill>
                </w14:textFill>
              </w:rPr>
            </w:pPr>
            <w:r>
              <w:rPr>
                <w:rFonts w:hint="default" w:ascii="Times New Roman" w:hAnsi="Times New Roman" w:eastAsia="方正仿宋_GB2312" w:cs="Times New Roman"/>
                <w:b w:val="0"/>
                <w:bCs/>
                <w:i w:val="0"/>
                <w:iCs w:val="0"/>
                <w:color w:val="000000" w:themeColor="text1"/>
                <w:kern w:val="0"/>
                <w:sz w:val="20"/>
                <w:szCs w:val="20"/>
                <w:u w:val="none"/>
                <w:lang w:val="en-US" w:eastAsia="zh-CN" w:bidi="ar"/>
                <w14:textFill>
                  <w14:solidFill>
                    <w14:schemeClr w14:val="tx1"/>
                  </w14:solidFill>
                </w14:textFill>
              </w:rPr>
              <w:t>生态环境产业</w:t>
            </w:r>
          </w:p>
        </w:tc>
        <w:tc>
          <w:tcPr>
            <w:tcW w:w="672" w:type="pct"/>
            <w:tcBorders>
              <w:top w:val="single" w:color="000000" w:sz="4" w:space="0"/>
              <w:left w:val="single" w:color="000000" w:sz="4" w:space="0"/>
              <w:bottom w:val="single" w:color="000000" w:sz="4" w:space="0"/>
              <w:right w:val="single" w:color="000000" w:sz="4" w:space="0"/>
            </w:tcBorders>
            <w:shd w:val="clear" w:color="auto" w:fill="auto"/>
            <w:vAlign w:val="top"/>
          </w:tcPr>
          <w:p w14:paraId="054F6363">
            <w:pPr>
              <w:keepNext w:val="0"/>
              <w:keepLines w:val="0"/>
              <w:pageBreakBefore w:val="0"/>
              <w:widowControl/>
              <w:suppressLineNumbers w:val="0"/>
              <w:wordWrap/>
              <w:overflowPunct/>
              <w:topLinePunct w:val="0"/>
              <w:bidi w:val="0"/>
              <w:snapToGrid w:val="0"/>
              <w:spacing w:before="0" w:beforeLines="0" w:line="240" w:lineRule="auto"/>
              <w:ind w:left="0" w:leftChars="0" w:firstLine="0" w:firstLineChars="0"/>
              <w:jc w:val="left"/>
              <w:textAlignment w:val="top"/>
              <w:rPr>
                <w:rFonts w:hint="default" w:ascii="Times New Roman" w:hAnsi="Times New Roman" w:eastAsia="方正仿宋_GB2312" w:cs="Times New Roman"/>
                <w:b w:val="0"/>
                <w:bCs/>
                <w:i w:val="0"/>
                <w:iCs w:val="0"/>
                <w:color w:val="000000" w:themeColor="text1"/>
                <w:sz w:val="20"/>
                <w:szCs w:val="20"/>
                <w:u w:val="none"/>
                <w14:textFill>
                  <w14:solidFill>
                    <w14:schemeClr w14:val="tx1"/>
                  </w14:solidFill>
                </w14:textFill>
              </w:rPr>
            </w:pPr>
            <w:r>
              <w:rPr>
                <w:rFonts w:hint="default" w:ascii="Times New Roman" w:hAnsi="Times New Roman" w:eastAsia="方正仿宋_GB2312" w:cs="Times New Roman"/>
                <w:b w:val="0"/>
                <w:bCs/>
                <w:i w:val="0"/>
                <w:iCs w:val="0"/>
                <w:color w:val="000000" w:themeColor="text1"/>
                <w:kern w:val="0"/>
                <w:sz w:val="20"/>
                <w:szCs w:val="20"/>
                <w:u w:val="none"/>
                <w:lang w:val="en-US" w:eastAsia="zh-CN" w:bidi="ar"/>
                <w14:textFill>
                  <w14:solidFill>
                    <w14:schemeClr w14:val="tx1"/>
                  </w14:solidFill>
                </w14:textFill>
              </w:rPr>
              <w:t>基础设施绿色升级</w:t>
            </w:r>
          </w:p>
        </w:tc>
        <w:tc>
          <w:tcPr>
            <w:tcW w:w="463" w:type="pct"/>
            <w:tcBorders>
              <w:top w:val="single" w:color="000000" w:sz="4" w:space="0"/>
              <w:left w:val="single" w:color="000000" w:sz="4" w:space="0"/>
              <w:bottom w:val="single" w:color="000000" w:sz="4" w:space="0"/>
              <w:right w:val="single" w:color="000000" w:sz="4" w:space="0"/>
            </w:tcBorders>
            <w:shd w:val="clear" w:color="auto" w:fill="auto"/>
            <w:vAlign w:val="top"/>
          </w:tcPr>
          <w:p w14:paraId="54F19A77">
            <w:pPr>
              <w:keepNext w:val="0"/>
              <w:keepLines w:val="0"/>
              <w:pageBreakBefore w:val="0"/>
              <w:widowControl/>
              <w:suppressLineNumbers w:val="0"/>
              <w:wordWrap/>
              <w:overflowPunct/>
              <w:topLinePunct w:val="0"/>
              <w:bidi w:val="0"/>
              <w:snapToGrid w:val="0"/>
              <w:spacing w:before="0" w:beforeLines="0" w:line="240" w:lineRule="auto"/>
              <w:ind w:left="0" w:leftChars="0" w:firstLine="0" w:firstLineChars="0"/>
              <w:jc w:val="left"/>
              <w:textAlignment w:val="top"/>
              <w:rPr>
                <w:rFonts w:hint="default" w:ascii="Times New Roman" w:hAnsi="Times New Roman" w:eastAsia="方正仿宋_GB2312" w:cs="Times New Roman"/>
                <w:b w:val="0"/>
                <w:bCs/>
                <w:i w:val="0"/>
                <w:iCs w:val="0"/>
                <w:color w:val="000000" w:themeColor="text1"/>
                <w:sz w:val="20"/>
                <w:szCs w:val="20"/>
                <w:u w:val="none"/>
                <w14:textFill>
                  <w14:solidFill>
                    <w14:schemeClr w14:val="tx1"/>
                  </w14:solidFill>
                </w14:textFill>
              </w:rPr>
            </w:pPr>
            <w:r>
              <w:rPr>
                <w:rFonts w:hint="default" w:ascii="Times New Roman" w:hAnsi="Times New Roman" w:eastAsia="方正仿宋_GB2312" w:cs="Times New Roman"/>
                <w:b w:val="0"/>
                <w:bCs/>
                <w:i w:val="0"/>
                <w:iCs w:val="0"/>
                <w:color w:val="000000" w:themeColor="text1"/>
                <w:kern w:val="0"/>
                <w:sz w:val="20"/>
                <w:szCs w:val="20"/>
                <w:u w:val="none"/>
                <w:lang w:val="en-US" w:eastAsia="zh-CN" w:bidi="ar"/>
                <w14:textFill>
                  <w14:solidFill>
                    <w14:schemeClr w14:val="tx1"/>
                  </w14:solidFill>
                </w14:textFill>
              </w:rPr>
              <w:t>绿色服务</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top"/>
          </w:tcPr>
          <w:p w14:paraId="0B648A69">
            <w:pPr>
              <w:keepNext w:val="0"/>
              <w:keepLines w:val="0"/>
              <w:pageBreakBefore w:val="0"/>
              <w:widowControl/>
              <w:suppressLineNumbers w:val="0"/>
              <w:wordWrap/>
              <w:overflowPunct/>
              <w:topLinePunct w:val="0"/>
              <w:bidi w:val="0"/>
              <w:snapToGrid w:val="0"/>
              <w:spacing w:before="0" w:beforeLines="0" w:line="240" w:lineRule="auto"/>
              <w:ind w:left="0" w:leftChars="0" w:firstLine="0" w:firstLineChars="0"/>
              <w:jc w:val="left"/>
              <w:textAlignment w:val="top"/>
              <w:rPr>
                <w:rFonts w:hint="default" w:ascii="Times New Roman" w:hAnsi="Times New Roman" w:eastAsia="方正仿宋_GB2312" w:cs="Times New Roman"/>
                <w:b w:val="0"/>
                <w:bCs/>
                <w:i w:val="0"/>
                <w:iCs w:val="0"/>
                <w:color w:val="000000" w:themeColor="text1"/>
                <w:sz w:val="20"/>
                <w:szCs w:val="20"/>
                <w:u w:val="none"/>
                <w14:textFill>
                  <w14:solidFill>
                    <w14:schemeClr w14:val="tx1"/>
                  </w14:solidFill>
                </w14:textFill>
              </w:rPr>
            </w:pPr>
            <w:r>
              <w:rPr>
                <w:rFonts w:hint="default" w:ascii="Times New Roman" w:hAnsi="Times New Roman" w:eastAsia="方正仿宋_GB2312" w:cs="Times New Roman"/>
                <w:b w:val="0"/>
                <w:bCs/>
                <w:i w:val="0"/>
                <w:iCs w:val="0"/>
                <w:color w:val="000000" w:themeColor="text1"/>
                <w:kern w:val="0"/>
                <w:sz w:val="20"/>
                <w:szCs w:val="20"/>
                <w:u w:val="none"/>
                <w:lang w:val="en-US" w:eastAsia="zh-CN" w:bidi="ar"/>
                <w14:textFill>
                  <w14:solidFill>
                    <w14:schemeClr w14:val="tx1"/>
                  </w14:solidFill>
                </w14:textFill>
              </w:rPr>
              <w:t>合计</w:t>
            </w:r>
          </w:p>
        </w:tc>
      </w:tr>
      <w:tr w14:paraId="489D2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29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CBACCD">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绿色信贷余额及占比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4B96F">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绿色信贷余额（万元）</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E7735">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6,914.49</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BC6A6">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2,980.00</w:t>
            </w:r>
          </w:p>
        </w:tc>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46C42">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0.00</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291E0">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8,500.00</w:t>
            </w:r>
          </w:p>
        </w:tc>
        <w:tc>
          <w:tcPr>
            <w:tcW w:w="6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8174B">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0.00</w:t>
            </w: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B5635">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4,250.00</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9B736">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22,644.49</w:t>
            </w:r>
          </w:p>
        </w:tc>
      </w:tr>
      <w:tr w14:paraId="6BF30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2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188D0">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绿色信贷余额及占比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FE9AE">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各项贷款余额（万元）</w:t>
            </w:r>
          </w:p>
        </w:tc>
        <w:tc>
          <w:tcPr>
            <w:tcW w:w="361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1BFF5">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994,274.84</w:t>
            </w:r>
          </w:p>
        </w:tc>
      </w:tr>
      <w:tr w14:paraId="08B91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2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810D1">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绿色信贷余额及占比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4BED4">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绿色信贷占比（%）</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EA479">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0.70%</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8A890">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0.30%</w:t>
            </w:r>
          </w:p>
        </w:tc>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F67EB">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0.00%</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F4B79">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0.85%</w:t>
            </w:r>
          </w:p>
        </w:tc>
        <w:tc>
          <w:tcPr>
            <w:tcW w:w="6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4726E">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0.00%</w:t>
            </w: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7F9EC">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0.43%</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541E5">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2.28%</w:t>
            </w:r>
          </w:p>
        </w:tc>
      </w:tr>
      <w:tr w14:paraId="5B55B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2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FAC70">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绿色信贷余额及占比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DFE83">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绿色信贷不良贷款余额（万元）</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B692B">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43355">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B595F">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2CCE">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6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7C0E4">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A4C50">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1598E">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r>
      <w:tr w14:paraId="3C01A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29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278C9">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绿色信贷余额及占比</w:t>
            </w:r>
          </w:p>
        </w:tc>
        <w:tc>
          <w:tcPr>
            <w:tcW w:w="10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34476">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b w:val="0"/>
                <w:bCs/>
                <w:color w:val="000000"/>
                <w:kern w:val="0"/>
                <w:sz w:val="20"/>
                <w:szCs w:val="20"/>
                <w:lang w:val="en-US" w:eastAsia="zh-CN"/>
              </w:rPr>
              <w:t>绿色信贷不良率（%）</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3A9C6">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F59CA">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5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34927">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32D58">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6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1ACCC">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4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79253">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c>
          <w:tcPr>
            <w:tcW w:w="3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2F7B4">
            <w:pPr>
              <w:pageBreakBefore w:val="0"/>
              <w:widowControl/>
              <w:wordWrap/>
              <w:overflowPunct/>
              <w:topLinePunct w:val="0"/>
              <w:bidi w:val="0"/>
              <w:snapToGrid w:val="0"/>
              <w:spacing w:before="0" w:beforeLines="0" w:line="240" w:lineRule="auto"/>
              <w:ind w:firstLine="0" w:firstLineChars="0"/>
              <w:jc w:val="center"/>
              <w:rPr>
                <w:rFonts w:hint="default" w:ascii="Times New Roman" w:hAnsi="Times New Roman" w:eastAsia="方正仿宋_GB2312" w:cs="Times New Roman"/>
                <w:b w:val="0"/>
                <w:bCs/>
                <w:color w:val="000000"/>
                <w:kern w:val="0"/>
                <w:sz w:val="20"/>
                <w:szCs w:val="20"/>
                <w:lang w:val="en-US" w:eastAsia="zh-CN"/>
              </w:rPr>
            </w:pPr>
            <w:r>
              <w:rPr>
                <w:rFonts w:hint="default" w:ascii="Times New Roman" w:hAnsi="Times New Roman" w:eastAsia="方正仿宋_GB2312" w:cs="Times New Roman"/>
                <w:sz w:val="20"/>
                <w:szCs w:val="20"/>
              </w:rPr>
              <w:t>/</w:t>
            </w:r>
          </w:p>
        </w:tc>
      </w:tr>
    </w:tbl>
    <w:p w14:paraId="1B9CA3DF">
      <w:pPr>
        <w:ind w:firstLine="0" w:firstLineChars="0"/>
        <w:rPr>
          <w:rFonts w:hint="default" w:ascii="Times New Roman" w:hAnsi="Times New Roman" w:eastAsia="方正仿宋_GB2312" w:cs="Times New Roman"/>
          <w:b/>
          <w:bCs/>
          <w:snapToGrid w:val="0"/>
          <w:color w:val="000000" w:themeColor="text1"/>
          <w:spacing w:val="6"/>
          <w:kern w:val="0"/>
          <w:sz w:val="24"/>
          <w:szCs w:val="24"/>
          <w14:textFill>
            <w14:solidFill>
              <w14:schemeClr w14:val="tx1"/>
            </w14:solidFill>
          </w14:textFill>
        </w:rPr>
        <w:sectPr>
          <w:pgSz w:w="16838" w:h="11906" w:orient="landscape"/>
          <w:pgMar w:top="1338" w:right="998" w:bottom="998" w:left="1451" w:header="851" w:footer="992" w:gutter="0"/>
          <w:pgNumType w:fmt="decimal"/>
          <w:cols w:space="425" w:num="1"/>
          <w:docGrid w:type="lines" w:linePitch="312" w:charSpace="0"/>
        </w:sectPr>
      </w:pPr>
    </w:p>
    <w:p w14:paraId="00F10F15">
      <w:pPr>
        <w:pStyle w:val="3"/>
        <w:bidi w:val="0"/>
        <w:rPr>
          <w:rFonts w:hint="default" w:ascii="Times New Roman" w:hAnsi="Times New Roman" w:eastAsia="方正仿宋_GB2312" w:cs="Times New Roman"/>
          <w:lang w:val="en-US" w:eastAsia="zh-CN"/>
        </w:rPr>
      </w:pPr>
      <w:bookmarkStart w:id="51" w:name="_Toc14730"/>
      <w:r>
        <w:rPr>
          <w:rFonts w:hint="default" w:ascii="Times New Roman" w:hAnsi="Times New Roman" w:eastAsia="方正仿宋_GB2312" w:cs="Times New Roman"/>
          <w:lang w:val="en-US" w:eastAsia="zh-CN"/>
        </w:rPr>
        <w:t>第九章创新及研究</w:t>
      </w:r>
      <w:bookmarkEnd w:id="51"/>
    </w:p>
    <w:p w14:paraId="4CCB7862">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在国家大力推进绿色发展、实现“双碳”目标的战略背景下，本行紧扣政策导向，积极践行社会责任，以机制创新为引领、以产品服务优化为核心、以科技赋能为支撑，全方位推进绿色金融体系建设。​</w:t>
      </w:r>
    </w:p>
    <w:p w14:paraId="0D2419F6">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一、健全创新机制，夯实绿色金融发展根基​</w:t>
      </w:r>
    </w:p>
    <w:p w14:paraId="30F26438">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本行始终将机制建设作为推动绿色金融发展的关键抓手，持续优化制度流程体系。2022年，正式印发《江苏盱眙农村商业银行股份有限公司“绿色信贷”管理办法》（盱商银发〔2022〕236号），该办法围绕绿色信贷业务全生命周期管理，从多个维度构建起系统化、标准化的制度框架，为绿色信贷业务的稳健、可持续发展筑牢制度保障。同期，发布了《江苏盱眙农村商业银行股份有限公司绿色信贷专项统计制度》，完善了对绿色信贷的内涵释义，统一统计口径与标准，并对分析报告编制提出规范化要求，有效提升了绿色信贷数据统计的准确性与规范性，为业务决策提供了数据支撑。​</w:t>
      </w:r>
    </w:p>
    <w:p w14:paraId="67583F07">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二、深化产品服务创新，提升绿色金融服务质效​</w:t>
      </w:r>
    </w:p>
    <w:p w14:paraId="12FC7F17">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（一）聚焦重点领域，精准服务绿色产业发展​</w:t>
      </w:r>
    </w:p>
    <w:p w14:paraId="2C045015">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在节能环保产业领域，本行充分发挥金融资源配置作用，持续加大融资支持力度。通过创新开展应收账款质押、股权质押等多元化融资业务模式，为低碳经济、循环经济相关企业注入金融活水，助力企业技术升级与产业转型，推动节能环保产业蓬勃发展。​</w:t>
      </w:r>
    </w:p>
    <w:p w14:paraId="6E698145">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在绿色农业领域，紧密围绕农业供给侧结构性改革主线，以“阳光信贷”为重要依托，积极引导农业产业转型升级。通过优化金融服务模式，推动普惠金融与绿色农业深度融合，在促进农业生产发展、增加农民收入的同时，突出农村生态环境保护与资源节约利用，实现生产、生活、生态协同发展，为乡村振兴注入绿色动能。​</w:t>
      </w:r>
    </w:p>
    <w:p w14:paraId="254C5142">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（二）创新服务举措，满足绿色企业多元需求​</w:t>
      </w:r>
    </w:p>
    <w:p w14:paraId="575AA0EE">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本行秉持风险可控、创新发展的理念，结合绿色行业特性、市场发展趋势以及客户实际需求，从多个维度开展绿色信贷流程、产品和服务创新：​</w:t>
      </w:r>
    </w:p>
    <w:p w14:paraId="19CE16A3">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利率优惠：对绿色信贷客户实施差异化利率定价策略，通过给予利率优惠，切实降低企业融资成本，增强企业市场竞争力，激发绿色产业发展活力。​</w:t>
      </w:r>
    </w:p>
    <w:p w14:paraId="5ABA9E18">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灵活期限设置：依据绿色项目建设周期长、资金回收慢的特点，结合客户实际需求，科学合理地延长贷款期限，确保绿色项目长期稳定的资金供给，保障项目顺利推进。​</w:t>
      </w:r>
    </w:p>
    <w:p w14:paraId="23F9BE32">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优化担保方式：针对绿色企业普遍存在的担保难题，积极探索创新担保模式，拓宽担保物范围，为企业融资提供更多选择，有效缓解企业融资担保困境。​</w:t>
      </w:r>
    </w:p>
    <w:p w14:paraId="739D3DF1">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开通绿色通道：专门为绿色信贷业务开辟审批绿色通道，建立优先受理、优先审查、优先审批的“三优先”工作机制，大幅压缩业务办理时间，显著提升绿色授信审批效率，确保绿色项目资金及时到位。​</w:t>
      </w:r>
    </w:p>
    <w:p w14:paraId="51F1F02C">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三、强化科技赋能，推动绿色金融数字化转型​</w:t>
      </w:r>
    </w:p>
    <w:p w14:paraId="19C06E54">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2024年，本行推出普惠展业平台，通过与县公积金中心、税务、水电等多部门实现数据互联互通，深度整合政务、企业经营等多维度大数据资源。借助平台内置的智能评级与风险评估系统，实现对客户信用状况、还款能力的精准量化分析，统一客户管理标准，提升客户画像的精准度。同时，该平台集信贷调查、审批决策、征信查询、贷后管理等功能于一体，全面规范信贷业务全流程操作标准，推动信贷投放向标准化、规范化、便捷化方向迈进，有效扩大风险管理覆盖范围，显著提升风险防控的精准性与有效性。​</w:t>
      </w:r>
    </w:p>
    <w:p w14:paraId="448D2BF6">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四、加强战略研究，明晰绿色金融发展方向​</w:t>
      </w:r>
    </w:p>
    <w:p w14:paraId="0085DCF9">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本行将绿色金融发展纳入战略规划核心内容，在董事会审议批准的《2024—2026年发展规划》中，明确提出全力支持乡村生态振兴，深入推进绿色金融发展战略。聚焦绿色农业发展、农业科技创新与结构调整、农业节能减排与污染治理等重点领域，持续加大金融支持力度，并在产品创新、担保方式优化、贷款期限灵活调整等方面开展深度探索，不断提升绿色金融服务水平。同时，积极服务乡村宜居宜业建设，强化农村环境综合治理金融支持，助力改善农民住房条件，推动农村新型社区建设与金融服务协同发展，通过合理配置中长期贷款，实现授信覆盖面、贷款户数、用信余额稳步增长，为乡村振兴提供坚实金融保障。​</w:t>
      </w:r>
    </w:p>
    <w:p w14:paraId="3740BCE9">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在风险管理与政策制度建设方面，本行持续深化环境、社会和治理（ESG）风险管理体系研究，不断完善相关政策、制度与流程，建立健全差别化、动态化的授信与投资政策体系。在严格控制钢铁、水泥、电解铝等传统“两高一剩”行业信贷规模的基础上，关注传统汽车生产企业产能过剩风险，加强对其上下游企业的全链条贷后管理；高度警惕新能源车企盲目扩张产能行为，重点关注造车新势力核心技术竞争力、市场销售增长情况及财务可持续性等关键指标；密切跟踪国际市场动态，深入排查出口型外贸企业经营状况，充分评估产业链外移、核心企业外迁对上下游企业经营的潜在影响，及时动态调整授用信额度，采取有效增信措施，确保信贷资产安全。​</w:t>
      </w:r>
    </w:p>
    <w:p w14:paraId="3D0F0471">
      <w:pPr>
        <w:keepNext w:val="0"/>
        <w:keepLines w:val="0"/>
        <w:pageBreakBefore w:val="0"/>
        <w:widowControl/>
        <w:kinsoku w:val="0"/>
        <w:wordWrap/>
        <w:overflowPunct/>
        <w:topLinePunct w:val="0"/>
        <w:autoSpaceDE w:val="0"/>
        <w:autoSpaceDN w:val="0"/>
        <w:bidi w:val="0"/>
        <w:adjustRightInd w:val="0"/>
        <w:snapToGrid w:val="0"/>
        <w:spacing w:before="149" w:beforeLines="50" w:line="560" w:lineRule="exact"/>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r>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t>在投融资流程管理环节，本行持续强化授信和投资全流程管理，通过加强尽职调查、合规审查、审批管理以及贷后和投后跟踪，不断优化审批流程，提升风险研判能力，做实风险分类管理。定期开展“信贷综合大检查”专项活动，全面排查潜在风险隐患，切实筑牢风险防控底线。同时，积极探索金融支持绿色低碳发展的有效路径，全力支持清洁低碳能源体系建设，聚焦重点行业和领域节能、减污、降碳、增绿、防灾等关键环节，加大对企业实施清洁生产的金融支持力度，有序推进碳达峰碳中和目标实现，为推动经济社会绿色化发展贡献金融力量。</w:t>
      </w:r>
    </w:p>
    <w:p w14:paraId="794C8764">
      <w:pPr>
        <w:pageBreakBefore w:val="0"/>
        <w:widowControl/>
        <w:kinsoku w:val="0"/>
        <w:wordWrap/>
        <w:topLinePunct w:val="0"/>
        <w:autoSpaceDE w:val="0"/>
        <w:autoSpaceDN w:val="0"/>
        <w:bidi w:val="0"/>
        <w:adjustRightInd w:val="0"/>
        <w:snapToGrid w:val="0"/>
        <w:spacing w:before="149" w:beforeLines="50" w:line="240" w:lineRule="auto"/>
        <w:ind w:firstLine="504" w:firstLineChars="200"/>
        <w:textAlignment w:val="baseline"/>
        <w:rPr>
          <w:rFonts w:hint="default" w:ascii="Times New Roman" w:hAnsi="Times New Roman" w:eastAsia="方正仿宋_GB2312" w:cs="Times New Roman"/>
          <w:b w:val="0"/>
          <w:bCs/>
          <w:snapToGrid w:val="0"/>
          <w:color w:val="auto"/>
          <w:spacing w:val="6"/>
          <w:kern w:val="0"/>
          <w:sz w:val="24"/>
          <w:szCs w:val="24"/>
          <w:highlight w:val="none"/>
          <w:lang w:val="en-US" w:eastAsia="zh-CN" w:bidi="ar-SA"/>
        </w:rPr>
      </w:pPr>
    </w:p>
    <w:p w14:paraId="340462A9">
      <w:pPr>
        <w:ind w:firstLine="640"/>
        <w:rPr>
          <w:rFonts w:hint="default" w:ascii="Times New Roman" w:hAnsi="Times New Roman" w:eastAsia="方正仿宋_GB2312" w:cs="Times New Roman"/>
          <w:b/>
          <w:bCs/>
          <w:color w:val="000000" w:themeColor="text1"/>
          <w:szCs w:val="32"/>
          <w14:textFill>
            <w14:solidFill>
              <w14:schemeClr w14:val="tx1"/>
            </w14:solidFill>
          </w14:textFill>
        </w:rPr>
      </w:pPr>
      <w:r>
        <w:rPr>
          <w:rFonts w:hint="default" w:ascii="Times New Roman" w:hAnsi="Times New Roman" w:eastAsia="方正仿宋_GB2312" w:cs="Times New Roman"/>
          <w:b/>
          <w:bCs/>
          <w:color w:val="000000" w:themeColor="text1"/>
          <w:szCs w:val="32"/>
          <w14:textFill>
            <w14:solidFill>
              <w14:schemeClr w14:val="tx1"/>
            </w14:solidFill>
          </w14:textFill>
        </w:rPr>
        <w:br w:type="page"/>
      </w:r>
    </w:p>
    <w:p w14:paraId="69B7E186">
      <w:pPr>
        <w:pStyle w:val="3"/>
        <w:bidi w:val="0"/>
        <w:rPr>
          <w:rFonts w:hint="default" w:ascii="Times New Roman" w:hAnsi="Times New Roman" w:eastAsia="方正仿宋_GB2312" w:cs="Times New Roman"/>
          <w:lang w:val="en-US" w:eastAsia="zh-CN"/>
        </w:rPr>
      </w:pPr>
      <w:bookmarkStart w:id="52" w:name="_Toc10238"/>
      <w:r>
        <w:rPr>
          <w:rFonts w:hint="default" w:ascii="Times New Roman" w:hAnsi="Times New Roman" w:eastAsia="方正仿宋_GB2312" w:cs="Times New Roman"/>
          <w:lang w:val="en-US" w:eastAsia="zh-CN"/>
        </w:rPr>
        <w:t>第十章数据质量管理</w:t>
      </w:r>
      <w:bookmarkEnd w:id="52"/>
    </w:p>
    <w:p w14:paraId="0D0198CE">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lang w:val="en-US" w:eastAsia="zh-CN"/>
        </w:rPr>
      </w:pPr>
      <w:bookmarkStart w:id="53" w:name="_Toc13733"/>
      <w:r>
        <w:rPr>
          <w:rFonts w:hint="default" w:ascii="Times New Roman" w:hAnsi="Times New Roman" w:eastAsia="方正仿宋_GB2312" w:cs="Times New Roman"/>
          <w:b w:val="0"/>
          <w:bCs w:val="0"/>
          <w:lang w:val="en-US" w:eastAsia="zh-CN"/>
        </w:rPr>
        <w:t>10.1数据梳理、校验及保护</w:t>
      </w:r>
      <w:bookmarkEnd w:id="53"/>
    </w:p>
    <w:p w14:paraId="2F04C954">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04"/>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val="en-US"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在金融碳核算和环境信息披露工作中制定了完善的数据收集、校验、管理流程，并有效保障了相关数据安全和数据主体权益。具体如下：</w:t>
      </w:r>
    </w:p>
    <w:p w14:paraId="305F5AB3">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lang w:val="en-US" w:eastAsia="zh-CN"/>
        </w:rPr>
      </w:pPr>
      <w:r>
        <w:rPr>
          <w:rFonts w:hint="default" w:ascii="Times New Roman" w:hAnsi="Times New Roman" w:eastAsia="方正仿宋_GB2312" w:cs="Times New Roman"/>
          <w:b w:val="0"/>
          <w:bCs w:val="0"/>
          <w:lang w:val="en-US" w:eastAsia="zh-CN"/>
        </w:rPr>
        <w:t>10.1.1数据收集</w:t>
      </w:r>
    </w:p>
    <w:p w14:paraId="3FAD5B66">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1）制度保障：依据中国人民银行《绿色贷款专项统计制度》和《绿色债券支持项目目录（2021年版）》制定了</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绿色统计制度，详细规范绿色信贷和绿色债券的认定流程、标识指标及数据统计的具体方法，确保绿色资产数据收集的规范性和一致性。</w:t>
      </w:r>
    </w:p>
    <w:p w14:paraId="008D2A17">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2）组织保障：为保障金融碳核算和环境信息披露工作顺利开展，</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成立了由多业务部门和子公司组成的专项工作组，专门负责</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金融碳核算（自身经营碳排放、投融资碳排放、绿色资产碳减排）和环境信息披露工作。</w:t>
      </w:r>
    </w:p>
    <w:p w14:paraId="26686142">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3）能力建设：为解决</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在金融碳核算和环境信息披露方面专业经验不足和专家团队薄弱难题，我们聘请了专业第三方咨询机构，辅导</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工作组设计了完整的可行性方案、工作计划、工作流程、操作手册、数据收集表和</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报告模板</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等文件，并采购和部署了</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金融碳核算系统数字化工具。</w:t>
      </w:r>
    </w:p>
    <w:p w14:paraId="79CC2A00">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04"/>
        <w:textAlignment w:val="baseline"/>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基于以上制度、组织、能力保障，通过</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内部统计系统和外部客户数据收集，实现了环境信息披露所需数据的全面、准确和及时统计。</w:t>
      </w:r>
    </w:p>
    <w:p w14:paraId="0F7A8D59">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lang w:val="en-US" w:eastAsia="zh-CN"/>
        </w:rPr>
      </w:pPr>
      <w:r>
        <w:rPr>
          <w:rFonts w:hint="default" w:ascii="Times New Roman" w:hAnsi="Times New Roman" w:eastAsia="方正仿宋_GB2312" w:cs="Times New Roman"/>
          <w:b w:val="0"/>
          <w:bCs w:val="0"/>
          <w:lang w:val="en-US" w:eastAsia="zh-CN"/>
        </w:rPr>
        <w:t>10.1.2数据校验</w:t>
      </w:r>
    </w:p>
    <w:p w14:paraId="707D3BD6">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04"/>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建立了严格的数据校验流程，通过交叉核对、内部评审及外部审验多种方式对数据进行多维度校验，确保数据可追溯、可验证、可核查。</w:t>
      </w:r>
    </w:p>
    <w:p w14:paraId="7CC82E1B">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首先，所有原始数据收集和填报交叉核对机制，支行核对专员对客户经理收集和填报的《客户清单》、投融资碳排放、绿色资产碳减排初始数据逐个核对，</w:t>
      </w:r>
      <w:r>
        <w:rPr>
          <w:rFonts w:hint="default" w:ascii="Times New Roman" w:hAnsi="Times New Roman" w:eastAsia="方正仿宋_GB2312" w:cs="Times New Roman"/>
          <w:b w:val="0"/>
          <w:bCs w:val="0"/>
          <w:snapToGrid w:val="0"/>
          <w:color w:val="000000" w:themeColor="text1"/>
          <w:spacing w:val="6"/>
          <w:kern w:val="0"/>
          <w:sz w:val="24"/>
          <w:szCs w:val="24"/>
          <w:lang w:val="en-US"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核对专员对支行收集和填报的自身经营碳排放、投融资清单、碳减排清单，通过金融碳核算系统数据核验工具对数据进行自动化校验；</w:t>
      </w:r>
    </w:p>
    <w:p w14:paraId="526D6C6E">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其次，</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专家依据评审规则和统计数据，对金融碳核算系统最终计算结果和各类碳报表进行内部评审；</w:t>
      </w:r>
    </w:p>
    <w:p w14:paraId="35C98529">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最后，第三方机构依据《金融机构碳核算技术指南（试行）》和《江苏省银行业金融机构环境信息披露指引》，参考行业内金融碳核算最佳实践经验做外部审验，对关键数据进行严格比对识别并纠正潜在偏差。</w:t>
      </w:r>
    </w:p>
    <w:p w14:paraId="18840D83">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lang w:val="en-US" w:eastAsia="zh-CN"/>
        </w:rPr>
      </w:pPr>
      <w:r>
        <w:rPr>
          <w:rFonts w:hint="default" w:ascii="Times New Roman" w:hAnsi="Times New Roman" w:eastAsia="方正仿宋_GB2312" w:cs="Times New Roman"/>
          <w:b w:val="0"/>
          <w:bCs w:val="0"/>
          <w:lang w:val="en-US" w:eastAsia="zh-CN"/>
        </w:rPr>
        <w:t>10.1.3数据安全</w:t>
      </w:r>
    </w:p>
    <w:p w14:paraId="2AA86E7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56" w:beforeLines="50" w:line="560" w:lineRule="exact"/>
        <w:ind w:firstLine="504" w:firstLineChars="200"/>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lang w:val="en-US" w:eastAsia="zh-CN"/>
          <w14:textFill>
            <w14:solidFill>
              <w14:schemeClr w14:val="tx1"/>
            </w14:solidFill>
          </w14:textFill>
        </w:rPr>
        <w:t>1</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安全体系：</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建立了完善的信息安全管理体系，从体系上确保金融碳核算和环境信息披露数据在收集、处理、存储及传输过程中的安全性。</w:t>
      </w:r>
    </w:p>
    <w:p w14:paraId="59D9A19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56" w:beforeLines="50" w:line="560" w:lineRule="exact"/>
        <w:ind w:firstLine="504" w:firstLineChars="200"/>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lang w:val="en-US" w:eastAsia="zh-CN"/>
          <w14:textFill>
            <w14:solidFill>
              <w14:schemeClr w14:val="tx1"/>
            </w14:solidFill>
          </w14:textFill>
        </w:rPr>
        <w:t>2</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访问控制：实施严格的数据访问控制策略，仅授权相关人员访问相关数据，防止环境信息披露数据泄露。</w:t>
      </w:r>
    </w:p>
    <w:p w14:paraId="70ECBEE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56" w:beforeLines="50" w:line="560" w:lineRule="exact"/>
        <w:ind w:firstLine="504" w:firstLineChars="200"/>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lang w:val="en-US" w:eastAsia="zh-CN"/>
          <w14:textFill>
            <w14:solidFill>
              <w14:schemeClr w14:val="tx1"/>
            </w14:solidFill>
          </w14:textFill>
        </w:rPr>
        <w:t>3</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加密技术：对敏感数据采用加密技术处理，确保环境信息披露数据在存储和传输过程中的保密性。</w:t>
      </w:r>
    </w:p>
    <w:p w14:paraId="38E70BC0">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56" w:beforeLines="50" w:line="560" w:lineRule="exact"/>
        <w:ind w:firstLine="504" w:firstLineChars="200"/>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lang w:val="en-US" w:eastAsia="zh-CN"/>
          <w14:textFill>
            <w14:solidFill>
              <w14:schemeClr w14:val="tx1"/>
            </w14:solidFill>
          </w14:textFill>
        </w:rPr>
        <w:t>4</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备份恢复：建立数据备份与恢复机制，定期对环境数据进行备份，防止数据丢失或损坏，确保数据的完整性和可用性。</w:t>
      </w:r>
    </w:p>
    <w:p w14:paraId="38872A9B">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lang w:val="en-US" w:eastAsia="zh-CN"/>
        </w:rPr>
      </w:pPr>
      <w:r>
        <w:rPr>
          <w:rFonts w:hint="default" w:ascii="Times New Roman" w:hAnsi="Times New Roman" w:eastAsia="方正仿宋_GB2312" w:cs="Times New Roman"/>
          <w:b w:val="0"/>
          <w:bCs w:val="0"/>
          <w:lang w:val="en-US" w:eastAsia="zh-CN"/>
        </w:rPr>
        <w:t>10.1.4数据主体权益</w:t>
      </w:r>
    </w:p>
    <w:p w14:paraId="77F07B24">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1）同意授权方面：在收集企业经营数据和环境信息时，确保获得数据主体的书面同意和数据授权。</w:t>
      </w:r>
    </w:p>
    <w:p w14:paraId="7E424B16">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2）最小化方面：遵循收集数据最小化原则避免过度收集，仅收集编制环境信息披露报告的必需数据。</w:t>
      </w:r>
    </w:p>
    <w:p w14:paraId="475D1F18">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3）知情权方面：明确告知数据主体其数据将被如何使用和安全保护措施，保障数据主体充分知情。</w:t>
      </w:r>
    </w:p>
    <w:p w14:paraId="04623C65">
      <w:pPr>
        <w:pStyle w:val="2"/>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rPr>
      </w:pPr>
    </w:p>
    <w:p w14:paraId="759957E6">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lang w:val="en-US" w:eastAsia="zh-CN"/>
        </w:rPr>
      </w:pPr>
      <w:bookmarkStart w:id="54" w:name="_Toc156994200"/>
      <w:bookmarkStart w:id="55" w:name="_Toc31256"/>
      <w:r>
        <w:rPr>
          <w:rFonts w:hint="default" w:ascii="Times New Roman" w:hAnsi="Times New Roman" w:eastAsia="方正仿宋_GB2312" w:cs="Times New Roman"/>
          <w:b w:val="0"/>
          <w:bCs w:val="0"/>
          <w:lang w:val="en-US" w:eastAsia="zh-CN"/>
        </w:rPr>
        <w:t>10.2碳排放</w:t>
      </w:r>
      <w:bookmarkEnd w:id="54"/>
      <w:r>
        <w:rPr>
          <w:rFonts w:hint="default" w:ascii="Times New Roman" w:hAnsi="Times New Roman" w:eastAsia="方正仿宋_GB2312" w:cs="Times New Roman"/>
          <w:b w:val="0"/>
          <w:bCs w:val="0"/>
          <w:lang w:val="en-US" w:eastAsia="zh-CN"/>
        </w:rPr>
        <w:t>数据质量管理</w:t>
      </w:r>
      <w:bookmarkEnd w:id="55"/>
    </w:p>
    <w:p w14:paraId="5E15F64B">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04"/>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在金融碳核算和环境信息披露工作中采用的核算原则、统计口径、测算方法均符合《江苏省银行业金融机构环境信息披露指引</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试行</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》（以下简称《指引》）政策标准，并采取了一系列数据质量保障措施，具体如下：</w:t>
      </w:r>
    </w:p>
    <w:p w14:paraId="4109F27A">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lang w:val="en-US" w:eastAsia="zh-CN"/>
        </w:rPr>
      </w:pPr>
      <w:r>
        <w:rPr>
          <w:rFonts w:hint="default" w:ascii="Times New Roman" w:hAnsi="Times New Roman" w:eastAsia="方正仿宋_GB2312" w:cs="Times New Roman"/>
          <w:b w:val="0"/>
          <w:bCs w:val="0"/>
          <w:lang w:val="en-US" w:eastAsia="zh-CN"/>
        </w:rPr>
        <w:t>10.2.1遵循原则</w:t>
      </w:r>
    </w:p>
    <w:p w14:paraId="6C5F516F">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1）真实性原则。</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已客观、准确、完整地向监管部门和利益相关各方披露环境相关信息，引用的数据、资料均注明来源，并对要求披露但无法准确披露的信息已作出解释说明。</w:t>
      </w:r>
    </w:p>
    <w:p w14:paraId="35652617">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2）及时性原则。</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碳排放核算与信息披露工作已</w:t>
      </w:r>
      <w:r>
        <w:rPr>
          <w:rFonts w:hint="default" w:ascii="Times New Roman" w:hAnsi="Times New Roman" w:eastAsia="方正仿宋_GB2312" w:cs="Times New Roman"/>
          <w:b w:val="0"/>
          <w:bCs w:val="0"/>
          <w:snapToGrid w:val="0"/>
          <w:color w:val="000000" w:themeColor="text1"/>
          <w:spacing w:val="6"/>
          <w:kern w:val="0"/>
          <w:sz w:val="24"/>
          <w:szCs w:val="24"/>
          <w:highlight w:val="none"/>
          <w14:textFill>
            <w14:solidFill>
              <w14:schemeClr w14:val="tx1"/>
            </w14:solidFill>
          </w14:textFill>
        </w:rPr>
        <w:t>于202</w:t>
      </w:r>
      <w:r>
        <w:rPr>
          <w:rFonts w:hint="default" w:ascii="Times New Roman" w:hAnsi="Times New Roman" w:eastAsia="方正仿宋_GB2312" w:cs="Times New Roman"/>
          <w:b w:val="0"/>
          <w:bCs w:val="0"/>
          <w:snapToGrid w:val="0"/>
          <w:color w:val="000000" w:themeColor="text1"/>
          <w:spacing w:val="6"/>
          <w:kern w:val="0"/>
          <w:sz w:val="24"/>
          <w:szCs w:val="24"/>
          <w:highlight w:val="none"/>
          <w:lang w:val="en-US" w:eastAsia="zh-CN"/>
          <w14:textFill>
            <w14:solidFill>
              <w14:schemeClr w14:val="tx1"/>
            </w14:solidFill>
          </w14:textFill>
        </w:rPr>
        <w:t>5</w:t>
      </w:r>
      <w:r>
        <w:rPr>
          <w:rFonts w:hint="default" w:ascii="Times New Roman" w:hAnsi="Times New Roman" w:eastAsia="方正仿宋_GB2312" w:cs="Times New Roman"/>
          <w:b w:val="0"/>
          <w:bCs w:val="0"/>
          <w:snapToGrid w:val="0"/>
          <w:color w:val="000000" w:themeColor="text1"/>
          <w:spacing w:val="6"/>
          <w:kern w:val="0"/>
          <w:sz w:val="24"/>
          <w:szCs w:val="24"/>
          <w:highlight w:val="none"/>
          <w14:textFill>
            <w14:solidFill>
              <w14:schemeClr w14:val="tx1"/>
            </w14:solidFill>
          </w14:textFill>
        </w:rPr>
        <w:t>年</w:t>
      </w:r>
      <w:r>
        <w:rPr>
          <w:rFonts w:hint="default" w:ascii="Times New Roman" w:hAnsi="Times New Roman" w:eastAsia="方正仿宋_GB2312" w:cs="Times New Roman"/>
          <w:b w:val="0"/>
          <w:bCs w:val="0"/>
          <w:snapToGrid w:val="0"/>
          <w:color w:val="000000" w:themeColor="text1"/>
          <w:spacing w:val="6"/>
          <w:kern w:val="0"/>
          <w:sz w:val="24"/>
          <w:szCs w:val="24"/>
          <w:highlight w:val="none"/>
          <w:lang w:val="en-US" w:eastAsia="zh-CN"/>
          <w14:textFill>
            <w14:solidFill>
              <w14:schemeClr w14:val="tx1"/>
            </w14:solidFill>
          </w14:textFill>
        </w:rPr>
        <w:t>06</w:t>
      </w:r>
      <w:r>
        <w:rPr>
          <w:rFonts w:hint="default" w:ascii="Times New Roman" w:hAnsi="Times New Roman" w:eastAsia="方正仿宋_GB2312" w:cs="Times New Roman"/>
          <w:b w:val="0"/>
          <w:bCs w:val="0"/>
          <w:snapToGrid w:val="0"/>
          <w:color w:val="000000" w:themeColor="text1"/>
          <w:spacing w:val="6"/>
          <w:kern w:val="0"/>
          <w:sz w:val="24"/>
          <w:szCs w:val="24"/>
          <w:highlight w:val="none"/>
          <w14:textFill>
            <w14:solidFill>
              <w14:schemeClr w14:val="tx1"/>
            </w14:solidFill>
          </w14:textFill>
        </w:rPr>
        <w:t>月完成，</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环境信息披露报告定量数据和定性内容信息完整，</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截至报告期本行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和</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的关联机构未发生对社会公众利益有重大影响的环境事件。</w:t>
      </w:r>
    </w:p>
    <w:p w14:paraId="187B4C1E">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3）一致性原则。</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进行环境信息披露工作，碳排放核算与信息披露的测算口径和方法严格与《指引》保持一致。</w:t>
      </w:r>
    </w:p>
    <w:p w14:paraId="7E34DDB4">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4）连贯性原则。</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从首个环境信息披露报告年度开始，将在环境信息披露的统计核算标准、边界、方法和内容方面始终保持连贯性，如因某些原因发生改变的情况，将在报告中详细说明。</w:t>
      </w:r>
    </w:p>
    <w:p w14:paraId="2FECFF2A">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5）依法性原则。</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承诺环境信息披露内容合法合规，披露渠道符合政策标准，无虚假记载、误导性陈述或重大遗漏。</w:t>
      </w:r>
    </w:p>
    <w:p w14:paraId="6B6AFD4C">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lang w:val="en-US" w:eastAsia="zh-CN"/>
        </w:rPr>
      </w:pPr>
      <w:r>
        <w:rPr>
          <w:rFonts w:hint="default" w:ascii="Times New Roman" w:hAnsi="Times New Roman" w:eastAsia="方正仿宋_GB2312" w:cs="Times New Roman"/>
          <w:b w:val="0"/>
          <w:bCs w:val="0"/>
          <w:lang w:val="en-US" w:eastAsia="zh-CN"/>
        </w:rPr>
        <w:t>10.2.2统计口径</w:t>
      </w:r>
    </w:p>
    <w:p w14:paraId="108B3AFC">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1）自身经营的碳排放信息：</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范围一</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经营活动直接碳排放，包括</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自有交通运输工具和采暖</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制冷</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设备直接能源消耗产生的碳排放等；</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范围二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经营活动间接碳排放，包括</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营业、办公所外购的电力和热力服务间接能源消耗产生的碳排放等；</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范围三</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经营活动价值链碳排放，包括购买商品与服务、上游运输和配送、运营中产生的废物，差旅、员工通勤等机构经营活动价值链上游产生的碳排放。</w:t>
      </w:r>
    </w:p>
    <w:p w14:paraId="4743C5D0">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2）投融资活动的碳排放信息：项目融资将正式运营超过30天的融资项目全部纳入碳排放统计核算披露范围。非项目融资纳入报告期期末贷款余额大于零的制造业企业和报告期期末贷款余额在500万元及以上的非制造业企业。</w:t>
      </w:r>
    </w:p>
    <w:p w14:paraId="7AB29B50">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3）绿色资产的碳减排信息：纳入绿色信贷（项目业务）的碳减排信息和报告期期末持有的绿色债券的碳减排信息这两类。绿色信贷（非项目业务）鉴于目前缺乏有效的企业碳减排核算方法，本次不单独核算披露绿色信贷（非项目业务）的碳减排信息。</w:t>
      </w:r>
    </w:p>
    <w:p w14:paraId="04FEA4CC">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lang w:val="en-US" w:eastAsia="zh-CN"/>
        </w:rPr>
      </w:pPr>
      <w:r>
        <w:rPr>
          <w:rFonts w:hint="default" w:ascii="Times New Roman" w:hAnsi="Times New Roman" w:eastAsia="方正仿宋_GB2312" w:cs="Times New Roman"/>
          <w:b w:val="0"/>
          <w:bCs w:val="0"/>
          <w:lang w:val="en-US" w:eastAsia="zh-CN"/>
        </w:rPr>
        <w:t>10.2.3测算方法</w:t>
      </w:r>
    </w:p>
    <w:p w14:paraId="00DC63D1">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04"/>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部署了经国际权威机构认证的金融碳核算系统，本次金融碳核算工作流程严格按照中国人民银行发布的《金融机构碳核算技术指南</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试行</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》和温室气体排放核算相关国家标准及指南确定核算边界与方法，识别排放源，收集活动水平数据，选择或测算排放因子，计算与汇总自身经营碳排放量、投融资碳排放量或碳减排量。</w:t>
      </w:r>
    </w:p>
    <w:p w14:paraId="1E8DB848">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1）自身经营的碳排放测算方法：</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自身经营</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范围一</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直接碳排放和</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范围二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间接碳排放，测算方法采用《公共建筑运营单位（企业）温室气体排放核算方法和报告指南（试行）》，活动水平通过实际监测获得实景数据，关键的电力排放因子采用生态环境部、国家统计局最新公布的电力二氧化碳排放因子。</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自身经营</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范围三</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价值链碳排放测算方法采用国际通行的温室气体核算体系（GHGProtocol）《企业价值链</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（范围三）</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核算与报告标准》，活动水平包括购买商品与服务、上游运输和配送、运营中产生的废物，差旅、员工通勤数据通过实际监测和合理估算获取，价值链排放因子采用《中国产品全生命周期温室气体排放系数集（2022）》。</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总行、</w:t>
      </w:r>
      <w:r>
        <w:rPr>
          <w:rFonts w:hint="default" w:ascii="Times New Roman" w:hAnsi="Times New Roman" w:eastAsia="方正仿宋_GB2312" w:cs="Times New Roman"/>
          <w:b w:val="0"/>
          <w:bCs w:val="0"/>
          <w:snapToGrid w:val="0"/>
          <w:color w:val="000000" w:themeColor="text1"/>
          <w:spacing w:val="6"/>
          <w:kern w:val="0"/>
          <w:sz w:val="24"/>
          <w:szCs w:val="24"/>
          <w:lang w:val="en-US" w:eastAsia="zh-CN"/>
          <w14:textFill>
            <w14:solidFill>
              <w14:schemeClr w14:val="tx1"/>
            </w14:solidFill>
          </w14:textFill>
        </w:rPr>
        <w:t>各分支机构</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均单独核算自身经营碳排放，生成独立《碳排放报告》，并且报告生成后活动水平数据被锁定不可篡改，确保数据可追溯、可验证、可核查。</w:t>
      </w:r>
    </w:p>
    <w:p w14:paraId="5BEB4FD5">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2）投融资活动的碳排放测算方法：</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投融资碳排放测算按项目融资、非项目融资和债券投资分别计算每一个融资主体报告期碳排放（</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范围一+二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），再通过归因因子折算</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投融资对应份额，然后分别汇总。投融资主体如已有《碳核查报告</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碳排放报告》或项目可研报告、环评报告、节能报告碳排放数据的，直接采用该碳排放数据计算；如无直接碳排放数据来源，则测算方法采用国家市场监督管理总局12个行业温室气体排放核算国家标准和国家发改委24个行业温室气体排放核算方法与报告指南，</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范围一+二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活动水平通过企业客户实际监测获得实景数据，化石燃料排放因子采用生态环境部最新公布的常用化石燃料相关参数缺省值和工业过程排放因子缺省值，电力排放因子采用生态环境部、国家统计局最新公布的电力二氧化碳排放因子。每家投融资企业和项目均单独核算碳排放，生成独立《碳排放报告》，并且报告生成后活动水平锁定不可篡改，确保数据可追溯、可验证、可核查。</w:t>
      </w:r>
    </w:p>
    <w:p w14:paraId="1C4821B5">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3）绿色资产的碳减排测算方法：先收集每一个绿色项目和绿色债券报告期碳减排数据，再通过归因因子折算</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绿色资产对应份额，然后分别汇总。绿色项目和绿色债券类型属于相关主管部门及各级政府确定的重点用能单位、重点排放单位及纳入碳排放交易的单位的，</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收集《项目碳减排报告》或可研报告、环评报告、节能报告中数据，并按照评估报告的结果汇总计算其碳减排数据。对于其他类型，</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要求融资主体提供符合相关标准、技术指南及方法学等要求的碳减排评估数据。</w:t>
      </w:r>
    </w:p>
    <w:p w14:paraId="55D671C0">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4）归因因子测算方法：项目业务归因因子，</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本行</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根据对项目的投资额（报告期）与项目总投资（报告期）的比例分摊折算项目融资业务对应的碳排放量和碳减排量。非项目业务和债券投资归因因子，依据对融资主体的融资额（报告期）与融资主体主营业务收入（报告期）的比例分摊折算对应的碳排放量和碳减排量。</w:t>
      </w:r>
    </w:p>
    <w:p w14:paraId="3877C07A">
      <w:pPr>
        <w:pStyle w:val="6"/>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方正仿宋_GB2312" w:cs="Times New Roman"/>
          <w:b w:val="0"/>
          <w:bCs w:val="0"/>
          <w:lang w:val="en-US" w:eastAsia="zh-CN"/>
        </w:rPr>
      </w:pPr>
      <w:r>
        <w:rPr>
          <w:rFonts w:hint="default" w:ascii="Times New Roman" w:hAnsi="Times New Roman" w:eastAsia="方正仿宋_GB2312" w:cs="Times New Roman"/>
          <w:b w:val="0"/>
          <w:bCs w:val="0"/>
          <w:lang w:val="en-US" w:eastAsia="zh-CN"/>
        </w:rPr>
        <w:t>10.2.4数据质量保障措施</w:t>
      </w:r>
    </w:p>
    <w:p w14:paraId="4367CD1B">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1）环境相关数据质量的梳理和校验：定期进行数据质量评估，包括完整性、准确性、一致性和时效性；使用自动化工具进行数据清洗和校验，减少人工错误；建立数据质量标准，并确保所有收集和处理的数据都符合标准。</w:t>
      </w:r>
    </w:p>
    <w:p w14:paraId="3CF722E6">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2）提升基础数据质量：对数据来源进行严格的审核，确保数据的可靠性和准确性；开展数据质量培训，</w:t>
      </w: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增强</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员工的数据意识和处理能力；实施数据治理策略，确保数据的规范管理和使用。</w:t>
      </w:r>
    </w:p>
    <w:p w14:paraId="03B1FE7E">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3）保证数据披露的及时性、准确性：建立数据更新和披露的定时机制，确保信息的时效性；在披露前对数据进行严格的审核和校验，确保准确性；使用先进的技术手段，如实时数据处理和可视化工具，提高信息披露的效率和质量。</w:t>
      </w:r>
    </w:p>
    <w:p w14:paraId="57D83B41">
      <w:pPr>
        <w:keepNext w:val="0"/>
        <w:keepLines w:val="0"/>
        <w:pageBreakBefore w:val="0"/>
        <w:widowControl/>
        <w:kinsoku w:val="0"/>
        <w:wordWrap/>
        <w:overflowPunct/>
        <w:topLinePunct w:val="0"/>
        <w:autoSpaceDE w:val="0"/>
        <w:autoSpaceDN w:val="0"/>
        <w:bidi w:val="0"/>
        <w:adjustRightInd w:val="0"/>
        <w:snapToGrid w:val="0"/>
        <w:spacing w:before="156" w:beforeLines="50" w:line="560" w:lineRule="exact"/>
        <w:ind w:firstLine="513"/>
        <w:textAlignment w:val="baseline"/>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pPr>
      <w:r>
        <w:rPr>
          <w:rFonts w:hint="default" w:ascii="Times New Roman" w:hAnsi="Times New Roman" w:eastAsia="方正仿宋_GB2312" w:cs="Times New Roman"/>
          <w:b w:val="0"/>
          <w:bCs w:val="0"/>
          <w:snapToGrid w:val="0"/>
          <w:color w:val="000000" w:themeColor="text1"/>
          <w:spacing w:val="6"/>
          <w:kern w:val="0"/>
          <w:sz w:val="24"/>
          <w:szCs w:val="24"/>
          <w:lang w:eastAsia="zh-CN"/>
          <w14:textFill>
            <w14:solidFill>
              <w14:schemeClr w14:val="tx1"/>
            </w14:solidFill>
          </w14:textFill>
        </w:rPr>
        <w:t>（</w:t>
      </w:r>
      <w:r>
        <w:rPr>
          <w:rFonts w:hint="default" w:ascii="Times New Roman" w:hAnsi="Times New Roman" w:eastAsia="方正仿宋_GB2312" w:cs="Times New Roman"/>
          <w:b w:val="0"/>
          <w:bCs w:val="0"/>
          <w:snapToGrid w:val="0"/>
          <w:color w:val="000000" w:themeColor="text1"/>
          <w:spacing w:val="6"/>
          <w:kern w:val="0"/>
          <w:sz w:val="24"/>
          <w:szCs w:val="24"/>
          <w14:textFill>
            <w14:solidFill>
              <w14:schemeClr w14:val="tx1"/>
            </w14:solidFill>
          </w14:textFill>
        </w:rPr>
        <w:t>4）建立应急预案：针对可能的数据安全事件或事故，制定详细的应急预案；定期进行应急演练，提高员工对数据安全事件的应对能力；与相关的法律、技术和业务团队建立紧密的协作机制，确保在数据安全事件发生时能够迅速、有效地应对。</w:t>
      </w:r>
    </w:p>
    <w:p w14:paraId="1B3EC759">
      <w:pPr>
        <w:ind w:firstLine="640"/>
        <w:rPr>
          <w:rFonts w:hint="default" w:ascii="Times New Roman" w:hAnsi="Times New Roman" w:eastAsia="方正仿宋_GB2312" w:cs="Times New Roman"/>
        </w:rPr>
      </w:pPr>
    </w:p>
    <w:p w14:paraId="3865D2D3">
      <w:pPr>
        <w:ind w:firstLine="640"/>
        <w:rPr>
          <w:rFonts w:hint="default" w:ascii="Times New Roman" w:hAnsi="Times New Roman" w:eastAsia="方正仿宋_GB2312" w:cs="Times New Roman"/>
        </w:rPr>
      </w:pPr>
    </w:p>
    <w:sectPr>
      <w:pgSz w:w="11906" w:h="16838"/>
      <w:pgMar w:top="998" w:right="998" w:bottom="1451" w:left="1338"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04"/>
      </w:pPr>
      <w:r>
        <w:separator/>
      </w:r>
    </w:p>
  </w:endnote>
  <w:endnote w:type="continuationSeparator" w:id="1">
    <w:p>
      <w:pPr>
        <w:spacing w:line="240" w:lineRule="auto"/>
        <w:ind w:firstLine="50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1E16103-0643-4E5B-B3E6-67352B24B2C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20B0604020202020204"/>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82016" w:usb3="00000000" w:csb0="00040001" w:csb1="00000000"/>
  </w:font>
  <w:font w:name="方正小标宋_GBK">
    <w:altName w:val="微软雅黑"/>
    <w:panose1 w:val="02000000000000000000"/>
    <w:charset w:val="86"/>
    <w:family w:val="auto"/>
    <w:pitch w:val="default"/>
    <w:sig w:usb0="00000000" w:usb1="00000000" w:usb2="00082016" w:usb3="00000000" w:csb0="00040001" w:csb1="00000000"/>
  </w:font>
  <w:font w:name="Calibri Light">
    <w:panose1 w:val="020F0302020204030204"/>
    <w:charset w:val="00"/>
    <w:family w:val="swiss"/>
    <w:pitch w:val="default"/>
    <w:sig w:usb0="E4002EFF" w:usb1="C200247B"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方正仿宋_GB2312">
    <w:panose1 w:val="02000000000000000000"/>
    <w:charset w:val="86"/>
    <w:family w:val="auto"/>
    <w:pitch w:val="default"/>
    <w:sig w:usb0="A00002BF" w:usb1="184F6CFA" w:usb2="00000012" w:usb3="00000000" w:csb0="00040001" w:csb1="00000000"/>
    <w:embedRegular r:id="rId2" w:fontKey="{400ADBFB-7D12-40E3-83B7-5BADD825562A}"/>
  </w:font>
  <w:font w:name="WPSEMBED1">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方正大标宋简体">
    <w:altName w:val="微软雅黑"/>
    <w:panose1 w:val="03000509000000000000"/>
    <w:charset w:val="86"/>
    <w:family w:val="script"/>
    <w:pitch w:val="default"/>
    <w:sig w:usb0="00000000" w:usb1="0000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2CF82">
    <w:pPr>
      <w:pStyle w:val="16"/>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6"/>
      </w:rPr>
      <w:id w:val="673328606"/>
      <w:docPartObj>
        <w:docPartGallery w:val="autotext"/>
      </w:docPartObj>
    </w:sdtPr>
    <w:sdtEndPr>
      <w:rPr>
        <w:rStyle w:val="26"/>
      </w:rPr>
    </w:sdtEndPr>
    <w:sdtContent>
      <w:p w14:paraId="50F4CF1A">
        <w:pPr>
          <w:pStyle w:val="16"/>
          <w:framePr w:wrap="auto" w:vAnchor="text" w:hAnchor="margin" w:xAlign="center" w:y="1"/>
          <w:ind w:firstLine="360"/>
          <w:rPr>
            <w:rStyle w:val="26"/>
          </w:rPr>
        </w:pPr>
        <w:r>
          <w:rPr>
            <w:rStyle w:val="26"/>
          </w:rPr>
          <w:fldChar w:fldCharType="begin"/>
        </w:r>
        <w:r>
          <w:rPr>
            <w:rStyle w:val="26"/>
          </w:rPr>
          <w:instrText xml:space="preserve"> PAGE </w:instrText>
        </w:r>
        <w:r>
          <w:rPr>
            <w:rStyle w:val="26"/>
          </w:rPr>
          <w:fldChar w:fldCharType="end"/>
        </w:r>
      </w:p>
    </w:sdtContent>
  </w:sdt>
  <w:sdt>
    <w:sdtPr>
      <w:rPr>
        <w:rStyle w:val="26"/>
      </w:rPr>
      <w:id w:val="470790979"/>
      <w:docPartObj>
        <w:docPartGallery w:val="autotext"/>
      </w:docPartObj>
    </w:sdtPr>
    <w:sdtEndPr>
      <w:rPr>
        <w:rStyle w:val="26"/>
      </w:rPr>
    </w:sdtEndPr>
    <w:sdtContent>
      <w:p w14:paraId="00E8701D">
        <w:pPr>
          <w:pStyle w:val="16"/>
          <w:framePr w:wrap="auto" w:vAnchor="text" w:hAnchor="margin" w:xAlign="right" w:y="1"/>
          <w:ind w:firstLine="360"/>
          <w:rPr>
            <w:rStyle w:val="26"/>
          </w:rPr>
        </w:pPr>
        <w:r>
          <w:rPr>
            <w:rStyle w:val="26"/>
          </w:rPr>
          <w:fldChar w:fldCharType="begin"/>
        </w:r>
        <w:r>
          <w:rPr>
            <w:rStyle w:val="26"/>
          </w:rPr>
          <w:instrText xml:space="preserve"> PAGE </w:instrText>
        </w:r>
        <w:r>
          <w:rPr>
            <w:rStyle w:val="26"/>
          </w:rPr>
          <w:fldChar w:fldCharType="end"/>
        </w:r>
      </w:p>
    </w:sdtContent>
  </w:sdt>
  <w:sdt>
    <w:sdtPr>
      <w:rPr>
        <w:rStyle w:val="26"/>
      </w:rPr>
      <w:id w:val="188039930"/>
      <w:docPartObj>
        <w:docPartGallery w:val="autotext"/>
      </w:docPartObj>
    </w:sdtPr>
    <w:sdtEndPr>
      <w:rPr>
        <w:rStyle w:val="26"/>
      </w:rPr>
    </w:sdtEndPr>
    <w:sdtContent>
      <w:p w14:paraId="02FA3E5B">
        <w:pPr>
          <w:pStyle w:val="16"/>
          <w:framePr w:wrap="auto" w:vAnchor="text" w:hAnchor="margin" w:xAlign="center" w:y="1"/>
          <w:ind w:right="360" w:firstLine="360"/>
          <w:rPr>
            <w:rStyle w:val="26"/>
          </w:rPr>
        </w:pPr>
        <w:r>
          <w:rPr>
            <w:rStyle w:val="26"/>
          </w:rPr>
          <w:fldChar w:fldCharType="begin"/>
        </w:r>
        <w:r>
          <w:rPr>
            <w:rStyle w:val="26"/>
          </w:rPr>
          <w:instrText xml:space="preserve"> PAGE </w:instrText>
        </w:r>
        <w:r>
          <w:rPr>
            <w:rStyle w:val="26"/>
          </w:rPr>
          <w:fldChar w:fldCharType="end"/>
        </w:r>
      </w:p>
    </w:sdtContent>
  </w:sdt>
  <w:sdt>
    <w:sdtPr>
      <w:rPr>
        <w:rStyle w:val="26"/>
      </w:rPr>
      <w:id w:val="1047030819"/>
      <w:docPartObj>
        <w:docPartGallery w:val="autotext"/>
      </w:docPartObj>
    </w:sdtPr>
    <w:sdtEndPr>
      <w:rPr>
        <w:rStyle w:val="26"/>
      </w:rPr>
    </w:sdtEndPr>
    <w:sdtContent>
      <w:p w14:paraId="0FB2F3CE">
        <w:pPr>
          <w:pStyle w:val="16"/>
          <w:framePr w:wrap="auto" w:vAnchor="text" w:hAnchor="margin" w:xAlign="center" w:y="1"/>
          <w:ind w:firstLine="360"/>
          <w:rPr>
            <w:rStyle w:val="26"/>
          </w:rPr>
        </w:pPr>
        <w:r>
          <w:rPr>
            <w:rStyle w:val="26"/>
          </w:rPr>
          <w:fldChar w:fldCharType="begin"/>
        </w:r>
        <w:r>
          <w:rPr>
            <w:rStyle w:val="26"/>
          </w:rPr>
          <w:instrText xml:space="preserve"> PAGE </w:instrText>
        </w:r>
        <w:r>
          <w:rPr>
            <w:rStyle w:val="26"/>
          </w:rPr>
          <w:fldChar w:fldCharType="end"/>
        </w:r>
      </w:p>
    </w:sdtContent>
  </w:sdt>
  <w:p w14:paraId="69B1E169">
    <w:pPr>
      <w:pStyle w:val="16"/>
      <w:ind w:right="-58" w:firstLine="0" w:firstLineChars="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5E56E">
    <w:pPr>
      <w:pStyle w:val="16"/>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6DB30">
    <w:pPr>
      <w:pStyle w:val="16"/>
      <w:ind w:firstLine="360"/>
      <w:rPr>
        <w:rFonts w:hint="eastAsia"/>
      </w:rPr>
    </w:pPr>
    <w:bookmarkStart w:id="56" w:name="_GoBack"/>
    <w:bookmarkEnd w:id="56"/>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3438CD">
                          <w:pPr>
                            <w:pStyle w:val="16"/>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E3438CD">
                    <w:pPr>
                      <w:pStyle w:val="16"/>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73D7B">
    <w:pPr>
      <w:pStyle w:val="16"/>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6A6C80">
                          <w:pPr>
                            <w:pStyle w:val="16"/>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46A6C80">
                    <w:pPr>
                      <w:pStyle w:val="16"/>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9A87E">
    <w:pPr>
      <w:pStyle w:val="16"/>
      <w:ind w:firstLine="360"/>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55E4F4">
                          <w:pPr>
                            <w:pStyle w:val="16"/>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F55E4F4">
                    <w:pPr>
                      <w:pStyle w:val="16"/>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F1121">
    <w:pPr>
      <w:pStyle w:val="16"/>
      <w:ind w:firstLine="360"/>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B1CE1C">
                          <w:pPr>
                            <w:pStyle w:val="16"/>
                          </w:pPr>
                          <w:r>
                            <w:t xml:space="preserve">第 </w:t>
                          </w:r>
                          <w:r>
                            <w:fldChar w:fldCharType="begin"/>
                          </w:r>
                          <w:r>
                            <w:instrText xml:space="preserve"> PAGE  \* MERGEFORMAT </w:instrText>
                          </w:r>
                          <w:r>
                            <w:fldChar w:fldCharType="separate"/>
                          </w:r>
                          <w:r>
                            <w:t>5</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DB1CE1C">
                    <w:pPr>
                      <w:pStyle w:val="16"/>
                    </w:pPr>
                    <w:r>
                      <w:t xml:space="preserve">第 </w:t>
                    </w:r>
                    <w:r>
                      <w:fldChar w:fldCharType="begin"/>
                    </w:r>
                    <w:r>
                      <w:instrText xml:space="preserve"> PAGE  \* MERGEFORMAT </w:instrText>
                    </w:r>
                    <w:r>
                      <w:fldChar w:fldCharType="separate"/>
                    </w:r>
                    <w:r>
                      <w:t>5</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BD071">
    <w:pPr>
      <w:pStyle w:val="16"/>
      <w:ind w:right="360" w:firstLine="360"/>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E2091A">
                          <w:pPr>
                            <w:pStyle w:val="16"/>
                          </w:pPr>
                          <w:r>
                            <w:t xml:space="preserve">第 </w:t>
                          </w:r>
                          <w:r>
                            <w:fldChar w:fldCharType="begin"/>
                          </w:r>
                          <w:r>
                            <w:instrText xml:space="preserve"> PAGE  \* MERGEFORMAT </w:instrText>
                          </w:r>
                          <w:r>
                            <w:fldChar w:fldCharType="separate"/>
                          </w:r>
                          <w:r>
                            <w:t>23</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5E2091A">
                    <w:pPr>
                      <w:pStyle w:val="16"/>
                    </w:pPr>
                    <w:r>
                      <w:t xml:space="preserve">第 </w:t>
                    </w:r>
                    <w:r>
                      <w:fldChar w:fldCharType="begin"/>
                    </w:r>
                    <w:r>
                      <w:instrText xml:space="preserve"> PAGE  \* MERGEFORMAT </w:instrText>
                    </w:r>
                    <w:r>
                      <w:fldChar w:fldCharType="separate"/>
                    </w:r>
                    <w:r>
                      <w:t>23</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6"/>
      </w:rPr>
      <w:id w:val="147466207"/>
      <w:docPartObj>
        <w:docPartGallery w:val="autotext"/>
      </w:docPartObj>
    </w:sdtPr>
    <w:sdtEndPr>
      <w:rPr>
        <w:rStyle w:val="26"/>
      </w:rPr>
    </w:sdtEndPr>
    <w:sdtContent>
      <w:p w14:paraId="72760084">
        <w:pPr>
          <w:pStyle w:val="16"/>
          <w:framePr w:wrap="auto" w:vAnchor="text" w:hAnchor="margin" w:xAlign="center" w:y="1"/>
          <w:ind w:firstLine="360"/>
          <w:rPr>
            <w:rStyle w:val="26"/>
          </w:rPr>
        </w:pPr>
        <w:r>
          <w:rPr>
            <w:rStyle w:val="26"/>
          </w:rPr>
          <w:fldChar w:fldCharType="begin"/>
        </w:r>
        <w:r>
          <w:rPr>
            <w:rStyle w:val="26"/>
          </w:rPr>
          <w:instrText xml:space="preserve"> PAGE </w:instrText>
        </w:r>
        <w:r>
          <w:rPr>
            <w:rStyle w:val="26"/>
          </w:rPr>
          <w:fldChar w:fldCharType="separate"/>
        </w:r>
        <w:r>
          <w:rPr>
            <w:rStyle w:val="26"/>
          </w:rPr>
          <w:t>24</w:t>
        </w:r>
        <w:r>
          <w:rPr>
            <w:rStyle w:val="26"/>
          </w:rPr>
          <w:fldChar w:fldCharType="end"/>
        </w:r>
      </w:p>
    </w:sdtContent>
  </w:sdt>
  <w:p w14:paraId="6391388F">
    <w:pPr>
      <w:pStyle w:val="16"/>
      <w:ind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A505A">
    <w:pPr>
      <w:pStyle w:val="16"/>
      <w:ind w:right="360" w:firstLine="36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6FE41B">
                          <w:pPr>
                            <w:pStyle w:val="16"/>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C6FE41B">
                    <w:pPr>
                      <w:pStyle w:val="16"/>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ind w:firstLine="504"/>
      </w:pPr>
      <w:r>
        <w:separator/>
      </w:r>
    </w:p>
  </w:footnote>
  <w:footnote w:type="continuationSeparator" w:id="1">
    <w:p>
      <w:pPr>
        <w:spacing w:before="0" w:after="0" w:line="240" w:lineRule="auto"/>
        <w:ind w:firstLine="504"/>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7ED27">
    <w:pPr>
      <w:pStyle w:val="1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26"/>
      </w:rPr>
      <w:id w:val="-1"/>
      <w:docPartObj>
        <w:docPartGallery w:val="autotext"/>
      </w:docPartObj>
    </w:sdtPr>
    <w:sdtEndPr>
      <w:rPr>
        <w:rStyle w:val="26"/>
      </w:rPr>
    </w:sdtEndPr>
    <w:sdtContent>
      <w:p w14:paraId="1043ED06">
        <w:pPr>
          <w:pStyle w:val="17"/>
          <w:framePr w:wrap="auto" w:vAnchor="text" w:hAnchor="margin" w:xAlign="center" w:y="1"/>
          <w:ind w:firstLine="360"/>
          <w:rPr>
            <w:rStyle w:val="26"/>
          </w:rPr>
        </w:pPr>
        <w:r>
          <w:rPr>
            <w:rStyle w:val="26"/>
          </w:rPr>
          <w:fldChar w:fldCharType="begin"/>
        </w:r>
        <w:r>
          <w:rPr>
            <w:rStyle w:val="26"/>
          </w:rPr>
          <w:instrText xml:space="preserve"> PAGE </w:instrText>
        </w:r>
        <w:r>
          <w:rPr>
            <w:rStyle w:val="26"/>
          </w:rPr>
          <w:fldChar w:fldCharType="end"/>
        </w:r>
      </w:p>
    </w:sdtContent>
  </w:sdt>
  <w:p w14:paraId="6056C77A">
    <w:pPr>
      <w:pStyle w:val="1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07A8A">
    <w:pPr>
      <w:ind w:firstLine="0" w:firstLineChars="0"/>
      <w:jc w:val="center"/>
      <w:rPr>
        <w:b/>
        <w:bCs/>
        <w:sz w:val="21"/>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3C1AE">
    <w:pPr>
      <w:ind w:firstLine="0" w:firstLineChars="0"/>
      <w:jc w:val="center"/>
      <w:rPr>
        <w:b/>
        <w:bCs/>
        <w:sz w:val="21"/>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2B0B3">
    <w:pPr>
      <w:pStyle w:val="17"/>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6A40C">
    <w:pPr>
      <w:pStyle w:val="17"/>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15C91">
    <w:pPr>
      <w:pStyle w:val="17"/>
      <w:tabs>
        <w:tab w:val="clear" w:pos="4153"/>
      </w:tabs>
      <w:ind w:firstLine="360"/>
      <w:jc w:val="right"/>
    </w:pPr>
    <w:r>
      <w:rPr>
        <w:rFonts w:hint="eastAsia"/>
      </w:rP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552BF">
    <w:pPr>
      <w:pStyle w:val="17"/>
      <w:ind w:firstLine="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DB0EC">
    <w:pPr>
      <w:pStyle w:val="17"/>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pStyle w:val="46"/>
      <w:lvlText w:val="表%1"/>
      <w:lvlJc w:val="left"/>
      <w:pPr>
        <w:tabs>
          <w:tab w:val="left" w:pos="420"/>
        </w:tabs>
        <w:ind w:left="0" w:firstLine="0"/>
      </w:pPr>
      <w:rPr>
        <w:rFonts w:hint="default" w:ascii="Times New Roman" w:hAnsi="Times New Roman" w:eastAsia="方正仿宋_GBK"/>
        <w:b/>
        <w:bCs/>
        <w:sz w:val="32"/>
        <w:szCs w:val="32"/>
      </w:rPr>
    </w:lvl>
  </w:abstractNum>
  <w:abstractNum w:abstractNumId="1">
    <w:nsid w:val="00000003"/>
    <w:multiLevelType w:val="multilevel"/>
    <w:tmpl w:val="0000000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360" w:firstLine="0"/>
      </w:pPr>
      <w:rPr>
        <w:rFonts w:hint="eastAsia" w:ascii="黑体" w:hAnsi="Times New Roman" w:eastAsia="黑体" w:cs="Times New Roman"/>
        <w:b w:val="0"/>
        <w:bCs w:val="0"/>
        <w:i w:val="0"/>
        <w:iCs w:val="0"/>
        <w:caps w:val="0"/>
        <w:spacing w:val="0"/>
        <w:kern w:val="0"/>
        <w:position w:val="0"/>
        <w:sz w:val="21"/>
        <w:szCs w:val="21"/>
        <w:u w:val="none"/>
      </w:rPr>
    </w:lvl>
    <w:lvl w:ilvl="2" w:tentative="0">
      <w:start w:val="1"/>
      <w:numFmt w:val="decimal"/>
      <w:pStyle w:val="58"/>
      <w:suff w:val="nothing"/>
      <w:lvlText w:val="%1.%2.%3　"/>
      <w:lvlJc w:val="left"/>
      <w:pPr>
        <w:ind w:left="3828" w:firstLine="0"/>
      </w:pPr>
      <w:rPr>
        <w:rFonts w:hint="eastAsia" w:ascii="黑体" w:hAnsi="Times New Roman" w:eastAsia="黑体"/>
        <w:b w:val="0"/>
        <w:i w:val="0"/>
        <w:sz w:val="21"/>
        <w:lang w:eastAsia="zh-TW"/>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00000005"/>
    <w:multiLevelType w:val="singleLevel"/>
    <w:tmpl w:val="00000005"/>
    <w:lvl w:ilvl="0" w:tentative="0">
      <w:start w:val="1"/>
      <w:numFmt w:val="decimal"/>
      <w:pStyle w:val="47"/>
      <w:lvlText w:val="图%1"/>
      <w:lvlJc w:val="left"/>
      <w:pPr>
        <w:tabs>
          <w:tab w:val="left" w:pos="420"/>
        </w:tabs>
        <w:ind w:left="425" w:hanging="425"/>
      </w:pPr>
      <w:rPr>
        <w:rFonts w:hint="default" w:eastAsia="方正仿宋_GBK"/>
        <w:b/>
        <w:sz w:val="32"/>
      </w:rPr>
    </w:lvl>
  </w:abstractNum>
  <w:abstractNum w:abstractNumId="3">
    <w:nsid w:val="00000006"/>
    <w:multiLevelType w:val="singleLevel"/>
    <w:tmpl w:val="00000006"/>
    <w:lvl w:ilvl="0" w:tentative="0">
      <w:start w:val="1"/>
      <w:numFmt w:val="chineseCounting"/>
      <w:suff w:val="space"/>
      <w:lvlText w:val="第%1章"/>
      <w:lvlJc w:val="left"/>
      <w:rPr>
        <w:rFonts w:hint="eastAsia"/>
      </w:rPr>
    </w:lvl>
  </w:abstractNum>
  <w:abstractNum w:abstractNumId="4">
    <w:nsid w:val="54CB2A2C"/>
    <w:multiLevelType w:val="multilevel"/>
    <w:tmpl w:val="54CB2A2C"/>
    <w:lvl w:ilvl="0" w:tentative="0">
      <w:start w:val="1"/>
      <w:numFmt w:val="chineseCounting"/>
      <w:lvlText w:val="%1、"/>
      <w:lvlJc w:val="left"/>
      <w:pPr>
        <w:ind w:left="432" w:hanging="432"/>
      </w:pPr>
      <w:rPr>
        <w:rFonts w:hint="eastAsia" w:ascii="Times New Roman" w:hAnsi="Times New Roman" w:eastAsia="方正黑体_GBK"/>
        <w:b/>
        <w:bCs/>
        <w:sz w:val="32"/>
        <w:szCs w:val="32"/>
      </w:rPr>
    </w:lvl>
    <w:lvl w:ilvl="1" w:tentative="0">
      <w:start w:val="1"/>
      <w:numFmt w:val="decimal"/>
      <w:lvlText w:val="%2"/>
      <w:lvlJc w:val="left"/>
      <w:pPr>
        <w:ind w:left="575" w:hanging="575"/>
      </w:pPr>
      <w:rPr>
        <w:rFonts w:hint="eastAsia" w:ascii="宋体" w:hAnsi="宋体" w:eastAsia="宋体" w:cs="宋体"/>
        <w:b/>
      </w:rPr>
    </w:lvl>
    <w:lvl w:ilvl="2" w:tentative="0">
      <w:start w:val="1"/>
      <w:numFmt w:val="decimal"/>
      <w:lvlText w:val="%1.%2.%3"/>
      <w:lvlJc w:val="left"/>
      <w:pPr>
        <w:ind w:left="720" w:hanging="720"/>
      </w:pPr>
      <w:rPr>
        <w:rFonts w:hint="eastAsia" w:ascii="Times New Roman" w:hAnsi="Times New Roman" w:eastAsia="宋体" w:cs="Times New Roman"/>
        <w:b/>
      </w:rPr>
    </w:lvl>
    <w:lvl w:ilvl="3" w:tentative="0">
      <w:start w:val="1"/>
      <w:numFmt w:val="decimal"/>
      <w:pStyle w:val="7"/>
      <w:lvlText w:val="%1.%2.%3.%4"/>
      <w:lvlJc w:val="left"/>
      <w:pPr>
        <w:ind w:left="864" w:hanging="864"/>
      </w:pPr>
      <w:rPr>
        <w:rFonts w:hint="eastAsia" w:ascii="Times New Roman" w:hAnsi="Times New Roman" w:eastAsia="宋体" w:cs="Times New Roman"/>
      </w:rPr>
    </w:lvl>
    <w:lvl w:ilvl="4" w:tentative="0">
      <w:start w:val="1"/>
      <w:numFmt w:val="decimal"/>
      <w:pStyle w:val="8"/>
      <w:lvlText w:val="%1.%2.%3.%4.%5."/>
      <w:lvlJc w:val="left"/>
      <w:pPr>
        <w:ind w:left="1008" w:hanging="1008"/>
      </w:pPr>
      <w:rPr>
        <w:rFonts w:hint="eastAsia"/>
      </w:rPr>
    </w:lvl>
    <w:lvl w:ilvl="5" w:tentative="0">
      <w:start w:val="1"/>
      <w:numFmt w:val="decimal"/>
      <w:pStyle w:val="9"/>
      <w:lvlText w:val="%1.%2.%3.%4.%5.%6."/>
      <w:lvlJc w:val="left"/>
      <w:pPr>
        <w:ind w:left="1151" w:hanging="1151"/>
      </w:pPr>
      <w:rPr>
        <w:rFonts w:hint="eastAsia"/>
      </w:rPr>
    </w:lvl>
    <w:lvl w:ilvl="6" w:tentative="0">
      <w:start w:val="1"/>
      <w:numFmt w:val="decimal"/>
      <w:pStyle w:val="10"/>
      <w:lvlText w:val="%1.%2.%3.%4.%5.%6.%7."/>
      <w:lvlJc w:val="left"/>
      <w:pPr>
        <w:ind w:left="1296" w:hanging="1296"/>
      </w:pPr>
      <w:rPr>
        <w:rFonts w:hint="eastAsia"/>
      </w:rPr>
    </w:lvl>
    <w:lvl w:ilvl="7" w:tentative="0">
      <w:start w:val="1"/>
      <w:numFmt w:val="decimal"/>
      <w:pStyle w:val="11"/>
      <w:lvlText w:val="%1.%2.%3.%4.%5.%6.%7.%8."/>
      <w:lvlJc w:val="left"/>
      <w:pPr>
        <w:ind w:left="1440" w:hanging="1440"/>
      </w:pPr>
      <w:rPr>
        <w:rFonts w:hint="eastAsia"/>
      </w:rPr>
    </w:lvl>
    <w:lvl w:ilvl="8" w:tentative="0">
      <w:start w:val="1"/>
      <w:numFmt w:val="decimal"/>
      <w:pStyle w:val="12"/>
      <w:lvlText w:val="%1.%2.%3.%4.%5.%6.%7.%8.%9."/>
      <w:lvlJc w:val="left"/>
      <w:pPr>
        <w:ind w:left="1583" w:hanging="1583"/>
      </w:pPr>
      <w:rPr>
        <w:rFonts w:hint="eastAsia"/>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M3OWE5ZmFlNGRlOWVlYjI4ZGZkY2Q2YWIzMGYyODQifQ=="/>
  </w:docVars>
  <w:rsids>
    <w:rsidRoot w:val="007A75F3"/>
    <w:rsid w:val="000F6981"/>
    <w:rsid w:val="00325DBE"/>
    <w:rsid w:val="00387BA9"/>
    <w:rsid w:val="00407522"/>
    <w:rsid w:val="00410068"/>
    <w:rsid w:val="005171BB"/>
    <w:rsid w:val="007112E5"/>
    <w:rsid w:val="007A04A4"/>
    <w:rsid w:val="007A75F3"/>
    <w:rsid w:val="007D0408"/>
    <w:rsid w:val="008A689A"/>
    <w:rsid w:val="00A335A5"/>
    <w:rsid w:val="00B352C7"/>
    <w:rsid w:val="00B445D8"/>
    <w:rsid w:val="00BE285C"/>
    <w:rsid w:val="00BF7E58"/>
    <w:rsid w:val="00C21C18"/>
    <w:rsid w:val="00C643D5"/>
    <w:rsid w:val="00C77777"/>
    <w:rsid w:val="00C94DCA"/>
    <w:rsid w:val="00CD7FFA"/>
    <w:rsid w:val="00D7128D"/>
    <w:rsid w:val="00DA3D1B"/>
    <w:rsid w:val="00E8641E"/>
    <w:rsid w:val="00FB5450"/>
    <w:rsid w:val="00FE122C"/>
    <w:rsid w:val="00FE2958"/>
    <w:rsid w:val="0241491C"/>
    <w:rsid w:val="026779BA"/>
    <w:rsid w:val="02922F6E"/>
    <w:rsid w:val="02AC7103"/>
    <w:rsid w:val="02AD7AC3"/>
    <w:rsid w:val="02B961CD"/>
    <w:rsid w:val="02D45050"/>
    <w:rsid w:val="02F62EDE"/>
    <w:rsid w:val="02F94E4A"/>
    <w:rsid w:val="030F52BB"/>
    <w:rsid w:val="033108D6"/>
    <w:rsid w:val="036068E4"/>
    <w:rsid w:val="039E11BA"/>
    <w:rsid w:val="03E3412E"/>
    <w:rsid w:val="03E45C6D"/>
    <w:rsid w:val="04021749"/>
    <w:rsid w:val="04DF6C8A"/>
    <w:rsid w:val="056B71E9"/>
    <w:rsid w:val="057B0278"/>
    <w:rsid w:val="060043AE"/>
    <w:rsid w:val="06412B7E"/>
    <w:rsid w:val="066D11AA"/>
    <w:rsid w:val="067816BC"/>
    <w:rsid w:val="068E3768"/>
    <w:rsid w:val="06B37672"/>
    <w:rsid w:val="073364FA"/>
    <w:rsid w:val="07A11279"/>
    <w:rsid w:val="08316AA1"/>
    <w:rsid w:val="0883355E"/>
    <w:rsid w:val="088E3EF3"/>
    <w:rsid w:val="08D535BC"/>
    <w:rsid w:val="094F52D8"/>
    <w:rsid w:val="09840E52"/>
    <w:rsid w:val="09DB16A8"/>
    <w:rsid w:val="09FD62EE"/>
    <w:rsid w:val="0A8F3F52"/>
    <w:rsid w:val="0B877EBE"/>
    <w:rsid w:val="0C5F2644"/>
    <w:rsid w:val="0C770DFE"/>
    <w:rsid w:val="0C880C59"/>
    <w:rsid w:val="0CB101B0"/>
    <w:rsid w:val="0CCF38FF"/>
    <w:rsid w:val="0CE045F1"/>
    <w:rsid w:val="0D1B16BD"/>
    <w:rsid w:val="0D2178BE"/>
    <w:rsid w:val="0D283592"/>
    <w:rsid w:val="0D382431"/>
    <w:rsid w:val="0D8B084E"/>
    <w:rsid w:val="0E2C3DC4"/>
    <w:rsid w:val="0E340CB9"/>
    <w:rsid w:val="0EAA26CD"/>
    <w:rsid w:val="0F010FFC"/>
    <w:rsid w:val="0F900551"/>
    <w:rsid w:val="0FCB1589"/>
    <w:rsid w:val="0FD5405B"/>
    <w:rsid w:val="11ED40C5"/>
    <w:rsid w:val="12543AB7"/>
    <w:rsid w:val="12BB3B36"/>
    <w:rsid w:val="143040B0"/>
    <w:rsid w:val="144135AB"/>
    <w:rsid w:val="14A214B8"/>
    <w:rsid w:val="14AB1989"/>
    <w:rsid w:val="15201D1B"/>
    <w:rsid w:val="154F67B8"/>
    <w:rsid w:val="155B6F0B"/>
    <w:rsid w:val="16725939"/>
    <w:rsid w:val="167417E7"/>
    <w:rsid w:val="168129A1"/>
    <w:rsid w:val="16C61609"/>
    <w:rsid w:val="16FC296F"/>
    <w:rsid w:val="171E4694"/>
    <w:rsid w:val="18075128"/>
    <w:rsid w:val="1821268E"/>
    <w:rsid w:val="192D0BBE"/>
    <w:rsid w:val="1A166A1D"/>
    <w:rsid w:val="1A4C776A"/>
    <w:rsid w:val="1AAB4490"/>
    <w:rsid w:val="1ADB00F7"/>
    <w:rsid w:val="1AFF2141"/>
    <w:rsid w:val="1B4D379A"/>
    <w:rsid w:val="1B8756CA"/>
    <w:rsid w:val="1B9B6E94"/>
    <w:rsid w:val="1C60574F"/>
    <w:rsid w:val="1CA76EDA"/>
    <w:rsid w:val="1DBA49EB"/>
    <w:rsid w:val="1E1B42AB"/>
    <w:rsid w:val="1F7A6B27"/>
    <w:rsid w:val="20552E77"/>
    <w:rsid w:val="20F8421E"/>
    <w:rsid w:val="211A411E"/>
    <w:rsid w:val="215533A8"/>
    <w:rsid w:val="22085D6A"/>
    <w:rsid w:val="227C6712"/>
    <w:rsid w:val="232D7D0A"/>
    <w:rsid w:val="23863CED"/>
    <w:rsid w:val="23B87C1E"/>
    <w:rsid w:val="2432352D"/>
    <w:rsid w:val="24455956"/>
    <w:rsid w:val="252E4B0E"/>
    <w:rsid w:val="25920E87"/>
    <w:rsid w:val="25AE753E"/>
    <w:rsid w:val="25B54415"/>
    <w:rsid w:val="26D1527F"/>
    <w:rsid w:val="26F96584"/>
    <w:rsid w:val="27E45486"/>
    <w:rsid w:val="286A22CA"/>
    <w:rsid w:val="288D78CB"/>
    <w:rsid w:val="28BC1F5F"/>
    <w:rsid w:val="294C5091"/>
    <w:rsid w:val="295108F9"/>
    <w:rsid w:val="29DA5A8A"/>
    <w:rsid w:val="29FF490D"/>
    <w:rsid w:val="2A0B4F4C"/>
    <w:rsid w:val="2A3A313B"/>
    <w:rsid w:val="2A5D507B"/>
    <w:rsid w:val="2A5D7C8E"/>
    <w:rsid w:val="2A5E4402"/>
    <w:rsid w:val="2AD634E7"/>
    <w:rsid w:val="2B9A25D3"/>
    <w:rsid w:val="2BB1601F"/>
    <w:rsid w:val="2BF50816"/>
    <w:rsid w:val="2D522E91"/>
    <w:rsid w:val="2DA55B89"/>
    <w:rsid w:val="2DDF3232"/>
    <w:rsid w:val="2E580250"/>
    <w:rsid w:val="2E701821"/>
    <w:rsid w:val="2EBFDAE5"/>
    <w:rsid w:val="2EE572FA"/>
    <w:rsid w:val="2F3C3FC3"/>
    <w:rsid w:val="2F5E419E"/>
    <w:rsid w:val="2F601896"/>
    <w:rsid w:val="2FA71273"/>
    <w:rsid w:val="2FF35785"/>
    <w:rsid w:val="303B24C1"/>
    <w:rsid w:val="307A24E3"/>
    <w:rsid w:val="30D20571"/>
    <w:rsid w:val="30F009F7"/>
    <w:rsid w:val="30F6750D"/>
    <w:rsid w:val="30F85AFE"/>
    <w:rsid w:val="30FD4EC2"/>
    <w:rsid w:val="320209E2"/>
    <w:rsid w:val="32326DEE"/>
    <w:rsid w:val="32382656"/>
    <w:rsid w:val="32852D31"/>
    <w:rsid w:val="33044C2E"/>
    <w:rsid w:val="3417273F"/>
    <w:rsid w:val="34A35D81"/>
    <w:rsid w:val="35074561"/>
    <w:rsid w:val="356024C6"/>
    <w:rsid w:val="366652B8"/>
    <w:rsid w:val="36742A8F"/>
    <w:rsid w:val="36BB6985"/>
    <w:rsid w:val="36F75564"/>
    <w:rsid w:val="37321D6A"/>
    <w:rsid w:val="37BF0CD0"/>
    <w:rsid w:val="37F025EF"/>
    <w:rsid w:val="37FE0B36"/>
    <w:rsid w:val="3825367C"/>
    <w:rsid w:val="38305B7D"/>
    <w:rsid w:val="3851621F"/>
    <w:rsid w:val="3881462B"/>
    <w:rsid w:val="392B4CC2"/>
    <w:rsid w:val="39455658"/>
    <w:rsid w:val="394750CB"/>
    <w:rsid w:val="394A5BAB"/>
    <w:rsid w:val="3950297B"/>
    <w:rsid w:val="39766A08"/>
    <w:rsid w:val="397B5842"/>
    <w:rsid w:val="39AA6E47"/>
    <w:rsid w:val="39F30EC3"/>
    <w:rsid w:val="39FA2B53"/>
    <w:rsid w:val="3A15327D"/>
    <w:rsid w:val="3A52627F"/>
    <w:rsid w:val="3AA41FEF"/>
    <w:rsid w:val="3B442CDC"/>
    <w:rsid w:val="3BDF7FE6"/>
    <w:rsid w:val="3BF21AC7"/>
    <w:rsid w:val="3BFF5DA5"/>
    <w:rsid w:val="3CBF1F49"/>
    <w:rsid w:val="3D0657A9"/>
    <w:rsid w:val="3D3D3216"/>
    <w:rsid w:val="3D6C5F71"/>
    <w:rsid w:val="3DFF38A6"/>
    <w:rsid w:val="3E1F291C"/>
    <w:rsid w:val="3E2717D1"/>
    <w:rsid w:val="3E9C56EF"/>
    <w:rsid w:val="3E9E5F37"/>
    <w:rsid w:val="3EBA2645"/>
    <w:rsid w:val="3F1F2B5D"/>
    <w:rsid w:val="3F2C09B1"/>
    <w:rsid w:val="3FBE63F8"/>
    <w:rsid w:val="3FC419CD"/>
    <w:rsid w:val="411918A4"/>
    <w:rsid w:val="41923405"/>
    <w:rsid w:val="41CE1354"/>
    <w:rsid w:val="41E2613A"/>
    <w:rsid w:val="420B38E3"/>
    <w:rsid w:val="426A160C"/>
    <w:rsid w:val="42927B60"/>
    <w:rsid w:val="431F0CC7"/>
    <w:rsid w:val="43922C3E"/>
    <w:rsid w:val="44476729"/>
    <w:rsid w:val="447D65EE"/>
    <w:rsid w:val="449622A8"/>
    <w:rsid w:val="44DE52DF"/>
    <w:rsid w:val="455530C7"/>
    <w:rsid w:val="458A0ABD"/>
    <w:rsid w:val="45A007E6"/>
    <w:rsid w:val="45D05B39"/>
    <w:rsid w:val="46D36999"/>
    <w:rsid w:val="47721A05"/>
    <w:rsid w:val="478657BA"/>
    <w:rsid w:val="47E36768"/>
    <w:rsid w:val="48050DD4"/>
    <w:rsid w:val="485D476D"/>
    <w:rsid w:val="48D50569"/>
    <w:rsid w:val="498D6747"/>
    <w:rsid w:val="4A69757A"/>
    <w:rsid w:val="4AA246B9"/>
    <w:rsid w:val="4AA91EEB"/>
    <w:rsid w:val="4AB525B6"/>
    <w:rsid w:val="4B693428"/>
    <w:rsid w:val="4BAD4101"/>
    <w:rsid w:val="4BBA5530"/>
    <w:rsid w:val="4BD96800"/>
    <w:rsid w:val="4BE00100"/>
    <w:rsid w:val="4C681932"/>
    <w:rsid w:val="4C96024D"/>
    <w:rsid w:val="4D0F1E82"/>
    <w:rsid w:val="4D9001A3"/>
    <w:rsid w:val="4DA60964"/>
    <w:rsid w:val="4DD70B1D"/>
    <w:rsid w:val="4DDFCD89"/>
    <w:rsid w:val="4E0937BC"/>
    <w:rsid w:val="4E1057DA"/>
    <w:rsid w:val="4E7B3B9E"/>
    <w:rsid w:val="4E834801"/>
    <w:rsid w:val="4E881E17"/>
    <w:rsid w:val="4EDCCD3C"/>
    <w:rsid w:val="4EFF657E"/>
    <w:rsid w:val="4F0973FC"/>
    <w:rsid w:val="4F1A33B7"/>
    <w:rsid w:val="4F610FE6"/>
    <w:rsid w:val="4F8610E9"/>
    <w:rsid w:val="4F9D0583"/>
    <w:rsid w:val="50595BFA"/>
    <w:rsid w:val="505C17AE"/>
    <w:rsid w:val="50A15DEB"/>
    <w:rsid w:val="51D07D5D"/>
    <w:rsid w:val="52777DAB"/>
    <w:rsid w:val="52B4767F"/>
    <w:rsid w:val="52C55AF5"/>
    <w:rsid w:val="52E51713"/>
    <w:rsid w:val="535624E4"/>
    <w:rsid w:val="53E775E0"/>
    <w:rsid w:val="53FF0DCE"/>
    <w:rsid w:val="54240834"/>
    <w:rsid w:val="543E2C5B"/>
    <w:rsid w:val="549F0DC3"/>
    <w:rsid w:val="54C65448"/>
    <w:rsid w:val="54D5369B"/>
    <w:rsid w:val="55990DAE"/>
    <w:rsid w:val="559B615F"/>
    <w:rsid w:val="55A27C63"/>
    <w:rsid w:val="55AC6D33"/>
    <w:rsid w:val="55B17EA6"/>
    <w:rsid w:val="55F27D24"/>
    <w:rsid w:val="569D042A"/>
    <w:rsid w:val="56D0416C"/>
    <w:rsid w:val="56D57BC4"/>
    <w:rsid w:val="56EF512A"/>
    <w:rsid w:val="57635426"/>
    <w:rsid w:val="58556DFB"/>
    <w:rsid w:val="58E30CBE"/>
    <w:rsid w:val="592941F7"/>
    <w:rsid w:val="59330767"/>
    <w:rsid w:val="595B0854"/>
    <w:rsid w:val="598853C1"/>
    <w:rsid w:val="59D52B06"/>
    <w:rsid w:val="5A233363"/>
    <w:rsid w:val="5AC97A40"/>
    <w:rsid w:val="5AF70A51"/>
    <w:rsid w:val="5B0373F5"/>
    <w:rsid w:val="5B5B3059"/>
    <w:rsid w:val="5B5C5EAD"/>
    <w:rsid w:val="5BB24978"/>
    <w:rsid w:val="5BB4249E"/>
    <w:rsid w:val="5BE508A9"/>
    <w:rsid w:val="5C2C472A"/>
    <w:rsid w:val="5C521D26"/>
    <w:rsid w:val="5C763BF7"/>
    <w:rsid w:val="5CEA65A2"/>
    <w:rsid w:val="5D017965"/>
    <w:rsid w:val="5DA87473"/>
    <w:rsid w:val="5E073728"/>
    <w:rsid w:val="5E1611EE"/>
    <w:rsid w:val="5E5B3B59"/>
    <w:rsid w:val="5E9B7945"/>
    <w:rsid w:val="5EA22A81"/>
    <w:rsid w:val="5EE27322"/>
    <w:rsid w:val="5F4E7B06"/>
    <w:rsid w:val="5F7F2233"/>
    <w:rsid w:val="5F8E3006"/>
    <w:rsid w:val="5FCA6734"/>
    <w:rsid w:val="5FD413F7"/>
    <w:rsid w:val="5FF437B1"/>
    <w:rsid w:val="5FFB79E6"/>
    <w:rsid w:val="5FFFC323"/>
    <w:rsid w:val="602D2580"/>
    <w:rsid w:val="60787F3E"/>
    <w:rsid w:val="60C018E5"/>
    <w:rsid w:val="60C95281"/>
    <w:rsid w:val="610F5757"/>
    <w:rsid w:val="61113EEE"/>
    <w:rsid w:val="61D60F4A"/>
    <w:rsid w:val="62465E1A"/>
    <w:rsid w:val="63306AC8"/>
    <w:rsid w:val="63696264"/>
    <w:rsid w:val="63AE3C76"/>
    <w:rsid w:val="646670BD"/>
    <w:rsid w:val="65501489"/>
    <w:rsid w:val="655B7506"/>
    <w:rsid w:val="65A215B9"/>
    <w:rsid w:val="65DC0F6F"/>
    <w:rsid w:val="66A355E9"/>
    <w:rsid w:val="66D17929"/>
    <w:rsid w:val="6784366C"/>
    <w:rsid w:val="67B7931D"/>
    <w:rsid w:val="6861575B"/>
    <w:rsid w:val="695452C0"/>
    <w:rsid w:val="69E2467A"/>
    <w:rsid w:val="6A024D1C"/>
    <w:rsid w:val="6B482C03"/>
    <w:rsid w:val="6B975E4A"/>
    <w:rsid w:val="6C467980"/>
    <w:rsid w:val="6CCC0C53"/>
    <w:rsid w:val="6CD3474E"/>
    <w:rsid w:val="6D0D7C60"/>
    <w:rsid w:val="6D883DAA"/>
    <w:rsid w:val="6DEFE473"/>
    <w:rsid w:val="6DF80910"/>
    <w:rsid w:val="6E032E11"/>
    <w:rsid w:val="6E337B9A"/>
    <w:rsid w:val="6E350E8D"/>
    <w:rsid w:val="6E7D1B7C"/>
    <w:rsid w:val="6EBB472C"/>
    <w:rsid w:val="6EBD4F8D"/>
    <w:rsid w:val="6F162CBE"/>
    <w:rsid w:val="6F215C44"/>
    <w:rsid w:val="6F6E2E43"/>
    <w:rsid w:val="6F751769"/>
    <w:rsid w:val="6FCE7B7A"/>
    <w:rsid w:val="6FD1766A"/>
    <w:rsid w:val="6FE25F7F"/>
    <w:rsid w:val="6FFC58A5"/>
    <w:rsid w:val="707352C8"/>
    <w:rsid w:val="71A83F33"/>
    <w:rsid w:val="726B01EF"/>
    <w:rsid w:val="72D975AD"/>
    <w:rsid w:val="72FF629D"/>
    <w:rsid w:val="7318735E"/>
    <w:rsid w:val="734819F2"/>
    <w:rsid w:val="743106D8"/>
    <w:rsid w:val="74375FCC"/>
    <w:rsid w:val="74CB0B2C"/>
    <w:rsid w:val="74DF784A"/>
    <w:rsid w:val="75601BDC"/>
    <w:rsid w:val="76944F4E"/>
    <w:rsid w:val="77399A8A"/>
    <w:rsid w:val="773B361B"/>
    <w:rsid w:val="7758332B"/>
    <w:rsid w:val="77AA4DD8"/>
    <w:rsid w:val="77BF8CBD"/>
    <w:rsid w:val="77CEC075"/>
    <w:rsid w:val="78244A5D"/>
    <w:rsid w:val="78B642DE"/>
    <w:rsid w:val="78EF25DF"/>
    <w:rsid w:val="78F30652"/>
    <w:rsid w:val="79654980"/>
    <w:rsid w:val="79725A1A"/>
    <w:rsid w:val="7ABC03B8"/>
    <w:rsid w:val="7ABE0F9E"/>
    <w:rsid w:val="7AEB1929"/>
    <w:rsid w:val="7AEF3908"/>
    <w:rsid w:val="7B1F5E6F"/>
    <w:rsid w:val="7B664809"/>
    <w:rsid w:val="7B851309"/>
    <w:rsid w:val="7C4D0405"/>
    <w:rsid w:val="7C6B0305"/>
    <w:rsid w:val="7D1FC9B7"/>
    <w:rsid w:val="7D3FFC61"/>
    <w:rsid w:val="7D807FDA"/>
    <w:rsid w:val="7D821FA4"/>
    <w:rsid w:val="7DB55ED6"/>
    <w:rsid w:val="7DE40569"/>
    <w:rsid w:val="7E0D5429"/>
    <w:rsid w:val="7E7538B7"/>
    <w:rsid w:val="7EC31904"/>
    <w:rsid w:val="7EF5E5D5"/>
    <w:rsid w:val="7EF7CB0F"/>
    <w:rsid w:val="7EFBC817"/>
    <w:rsid w:val="7EFD520E"/>
    <w:rsid w:val="7EFE2909"/>
    <w:rsid w:val="7F193C1F"/>
    <w:rsid w:val="7F7E055C"/>
    <w:rsid w:val="7FB86A3A"/>
    <w:rsid w:val="7FD25273"/>
    <w:rsid w:val="7FEF3D4B"/>
    <w:rsid w:val="7FF8C56C"/>
    <w:rsid w:val="7FFF1E38"/>
    <w:rsid w:val="7FFF36D5"/>
    <w:rsid w:val="82FF8526"/>
    <w:rsid w:val="93951D3D"/>
    <w:rsid w:val="9FFF0312"/>
    <w:rsid w:val="9FFFB596"/>
    <w:rsid w:val="AA9EFC81"/>
    <w:rsid w:val="AD1FDC3E"/>
    <w:rsid w:val="ADFD9EF0"/>
    <w:rsid w:val="AF8BCD0B"/>
    <w:rsid w:val="AFB35A9B"/>
    <w:rsid w:val="AFBC2332"/>
    <w:rsid w:val="BDDE7B63"/>
    <w:rsid w:val="BDE4D766"/>
    <w:rsid w:val="BE3D2206"/>
    <w:rsid w:val="BE576147"/>
    <w:rsid w:val="BED791F9"/>
    <w:rsid w:val="BEE7F7E8"/>
    <w:rsid w:val="BF7E1DC9"/>
    <w:rsid w:val="BFD7F22A"/>
    <w:rsid w:val="BFDFF389"/>
    <w:rsid w:val="CB87F191"/>
    <w:rsid w:val="CBFFBB41"/>
    <w:rsid w:val="CE77F314"/>
    <w:rsid w:val="D73ED3D7"/>
    <w:rsid w:val="D7FFE223"/>
    <w:rsid w:val="D9EB11C9"/>
    <w:rsid w:val="DABA27D7"/>
    <w:rsid w:val="DAEFABA3"/>
    <w:rsid w:val="DAFFD851"/>
    <w:rsid w:val="DB2F5708"/>
    <w:rsid w:val="DBBDD14C"/>
    <w:rsid w:val="DDDFA294"/>
    <w:rsid w:val="DDF5836D"/>
    <w:rsid w:val="DEDF8E7D"/>
    <w:rsid w:val="DFEBAE18"/>
    <w:rsid w:val="E37FCBB1"/>
    <w:rsid w:val="E6CEC56A"/>
    <w:rsid w:val="E6FF1AAB"/>
    <w:rsid w:val="E7EFA140"/>
    <w:rsid w:val="E7FFBF33"/>
    <w:rsid w:val="EBAFC830"/>
    <w:rsid w:val="EEEBC955"/>
    <w:rsid w:val="EF5F91D3"/>
    <w:rsid w:val="EF773DF4"/>
    <w:rsid w:val="EFBD7E16"/>
    <w:rsid w:val="EFBE82A8"/>
    <w:rsid w:val="EFDA5142"/>
    <w:rsid w:val="F3EADEB7"/>
    <w:rsid w:val="F3F76E12"/>
    <w:rsid w:val="F6DE3214"/>
    <w:rsid w:val="F6F759BA"/>
    <w:rsid w:val="F7DFA8EF"/>
    <w:rsid w:val="F7E76A15"/>
    <w:rsid w:val="F8FB6DFC"/>
    <w:rsid w:val="FBDE4AF7"/>
    <w:rsid w:val="FDCB4C0B"/>
    <w:rsid w:val="FDFBA06F"/>
    <w:rsid w:val="FDFD0E63"/>
    <w:rsid w:val="FEEDB617"/>
    <w:rsid w:val="FEFA3571"/>
    <w:rsid w:val="FEFB6B84"/>
    <w:rsid w:val="FEFFEB40"/>
    <w:rsid w:val="FF7B42A9"/>
    <w:rsid w:val="FF7FB4D8"/>
    <w:rsid w:val="FFBF2516"/>
    <w:rsid w:val="FFBF2AB1"/>
    <w:rsid w:val="FFD78CCD"/>
    <w:rsid w:val="FFEF42ED"/>
    <w:rsid w:val="FFEFEC29"/>
    <w:rsid w:val="FFF71D8F"/>
    <w:rsid w:val="FFFB39BD"/>
    <w:rsid w:val="FFFDA4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qFormat="1"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kinsoku w:val="0"/>
      <w:autoSpaceDE w:val="0"/>
      <w:autoSpaceDN w:val="0"/>
      <w:adjustRightInd w:val="0"/>
      <w:snapToGrid w:val="0"/>
      <w:spacing w:before="156" w:beforeLines="50" w:line="240" w:lineRule="auto"/>
      <w:ind w:firstLine="513" w:firstLineChars="200"/>
      <w:jc w:val="both"/>
      <w:textAlignment w:val="baseline"/>
    </w:pPr>
    <w:rPr>
      <w:rFonts w:ascii="仿宋" w:hAnsi="仿宋" w:eastAsia="仿宋" w:cs="仿宋"/>
      <w:snapToGrid w:val="0"/>
      <w:color w:val="000000" w:themeColor="text1"/>
      <w:spacing w:val="6"/>
      <w:kern w:val="0"/>
      <w:sz w:val="24"/>
      <w:szCs w:val="24"/>
      <w:lang w:val="en-US" w:eastAsia="zh-CN" w:bidi="ar-SA"/>
      <w14:textFill>
        <w14:solidFill>
          <w14:schemeClr w14:val="tx1"/>
        </w14:solidFill>
      </w14:textFill>
    </w:rPr>
  </w:style>
  <w:style w:type="paragraph" w:styleId="3">
    <w:name w:val="heading 1"/>
    <w:basedOn w:val="4"/>
    <w:next w:val="1"/>
    <w:link w:val="30"/>
    <w:qFormat/>
    <w:uiPriority w:val="9"/>
    <w:pPr>
      <w:tabs>
        <w:tab w:val="right" w:leader="dot" w:pos="9897"/>
      </w:tabs>
      <w:kinsoku/>
      <w:autoSpaceDE/>
      <w:autoSpaceDN/>
      <w:spacing w:before="437" w:beforeLines="100" w:after="20" w:line="360" w:lineRule="auto"/>
      <w:ind w:left="0"/>
      <w:jc w:val="center"/>
      <w:textAlignment w:val="auto"/>
      <w:outlineLvl w:val="0"/>
    </w:pPr>
    <w:rPr>
      <w:rFonts w:ascii="黑体" w:hAnsi="黑体" w:eastAsia="黑体" w:cs="黑体"/>
      <w:kern w:val="2"/>
      <w:sz w:val="32"/>
      <w:szCs w:val="32"/>
    </w:rPr>
  </w:style>
  <w:style w:type="paragraph" w:styleId="5">
    <w:name w:val="heading 2"/>
    <w:basedOn w:val="1"/>
    <w:next w:val="1"/>
    <w:link w:val="33"/>
    <w:qFormat/>
    <w:uiPriority w:val="9"/>
    <w:pPr>
      <w:spacing w:before="217"/>
      <w:ind w:firstLine="0" w:firstLineChars="0"/>
      <w:outlineLvl w:val="1"/>
    </w:pPr>
    <w:rPr>
      <w:rFonts w:ascii="黑体" w:hAnsi="黑体" w:eastAsia="黑体" w:cs="黑体"/>
      <w:sz w:val="28"/>
      <w:szCs w:val="28"/>
    </w:rPr>
  </w:style>
  <w:style w:type="paragraph" w:styleId="6">
    <w:name w:val="heading 3"/>
    <w:basedOn w:val="1"/>
    <w:next w:val="1"/>
    <w:link w:val="34"/>
    <w:qFormat/>
    <w:uiPriority w:val="0"/>
    <w:pPr>
      <w:spacing w:before="217"/>
      <w:ind w:firstLine="480"/>
      <w:outlineLvl w:val="2"/>
    </w:pPr>
    <w:rPr>
      <w:rFonts w:ascii="黑体" w:hAnsi="黑体" w:eastAsia="黑体" w:cs="黑体"/>
    </w:rPr>
  </w:style>
  <w:style w:type="paragraph" w:styleId="7">
    <w:name w:val="heading 4"/>
    <w:basedOn w:val="1"/>
    <w:next w:val="1"/>
    <w:link w:val="35"/>
    <w:qFormat/>
    <w:uiPriority w:val="0"/>
    <w:pPr>
      <w:keepNext/>
      <w:keepLines/>
      <w:numPr>
        <w:ilvl w:val="3"/>
        <w:numId w:val="1"/>
      </w:numPr>
      <w:ind w:firstLine="0" w:firstLineChars="0"/>
      <w:outlineLvl w:val="3"/>
    </w:pPr>
    <w:rPr>
      <w:rFonts w:eastAsia="宋体"/>
      <w:b/>
      <w:sz w:val="28"/>
    </w:rPr>
  </w:style>
  <w:style w:type="paragraph" w:styleId="8">
    <w:name w:val="heading 5"/>
    <w:basedOn w:val="1"/>
    <w:next w:val="1"/>
    <w:link w:val="36"/>
    <w:qFormat/>
    <w:uiPriority w:val="0"/>
    <w:pPr>
      <w:keepNext/>
      <w:keepLines/>
      <w:numPr>
        <w:ilvl w:val="4"/>
        <w:numId w:val="1"/>
      </w:numPr>
      <w:spacing w:before="280" w:after="290" w:line="372" w:lineRule="auto"/>
      <w:ind w:firstLine="0" w:firstLineChars="0"/>
      <w:outlineLvl w:val="4"/>
    </w:pPr>
    <w:rPr>
      <w:b/>
      <w:sz w:val="28"/>
    </w:rPr>
  </w:style>
  <w:style w:type="paragraph" w:styleId="9">
    <w:name w:val="heading 6"/>
    <w:basedOn w:val="1"/>
    <w:next w:val="1"/>
    <w:link w:val="37"/>
    <w:qFormat/>
    <w:uiPriority w:val="0"/>
    <w:pPr>
      <w:keepNext/>
      <w:keepLines/>
      <w:numPr>
        <w:ilvl w:val="5"/>
        <w:numId w:val="1"/>
      </w:numPr>
      <w:spacing w:before="240" w:after="64" w:line="317" w:lineRule="auto"/>
      <w:ind w:firstLine="0" w:firstLineChars="0"/>
      <w:outlineLvl w:val="5"/>
    </w:pPr>
    <w:rPr>
      <w:rFonts w:ascii="Arial" w:hAnsi="Arial" w:eastAsia="黑体"/>
      <w:b/>
      <w:sz w:val="24"/>
    </w:rPr>
  </w:style>
  <w:style w:type="paragraph" w:styleId="10">
    <w:name w:val="heading 7"/>
    <w:basedOn w:val="1"/>
    <w:next w:val="1"/>
    <w:link w:val="38"/>
    <w:qFormat/>
    <w:uiPriority w:val="0"/>
    <w:pPr>
      <w:keepNext/>
      <w:keepLines/>
      <w:numPr>
        <w:ilvl w:val="6"/>
        <w:numId w:val="1"/>
      </w:numPr>
      <w:spacing w:before="240" w:after="64" w:line="317" w:lineRule="auto"/>
      <w:ind w:firstLine="0" w:firstLineChars="0"/>
      <w:outlineLvl w:val="6"/>
    </w:pPr>
    <w:rPr>
      <w:b/>
      <w:sz w:val="24"/>
    </w:rPr>
  </w:style>
  <w:style w:type="paragraph" w:styleId="11">
    <w:name w:val="heading 8"/>
    <w:basedOn w:val="1"/>
    <w:next w:val="1"/>
    <w:link w:val="39"/>
    <w:qFormat/>
    <w:uiPriority w:val="0"/>
    <w:pPr>
      <w:keepNext/>
      <w:keepLines/>
      <w:numPr>
        <w:ilvl w:val="7"/>
        <w:numId w:val="1"/>
      </w:numPr>
      <w:spacing w:before="240" w:after="64" w:line="317" w:lineRule="auto"/>
      <w:ind w:firstLine="0" w:firstLineChars="0"/>
      <w:outlineLvl w:val="7"/>
    </w:pPr>
    <w:rPr>
      <w:rFonts w:ascii="Arial" w:hAnsi="Arial" w:eastAsia="黑体"/>
      <w:sz w:val="24"/>
    </w:rPr>
  </w:style>
  <w:style w:type="paragraph" w:styleId="12">
    <w:name w:val="heading 9"/>
    <w:basedOn w:val="1"/>
    <w:next w:val="1"/>
    <w:link w:val="40"/>
    <w:qFormat/>
    <w:uiPriority w:val="0"/>
    <w:pPr>
      <w:keepNext/>
      <w:keepLines/>
      <w:numPr>
        <w:ilvl w:val="8"/>
        <w:numId w:val="1"/>
      </w:numPr>
      <w:spacing w:before="240" w:after="64" w:line="317" w:lineRule="auto"/>
      <w:ind w:firstLine="0" w:firstLineChars="0"/>
      <w:outlineLvl w:val="8"/>
    </w:pPr>
    <w:rPr>
      <w:rFonts w:ascii="Arial" w:hAnsi="Arial" w:eastAsia="黑体"/>
      <w:sz w:val="21"/>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1"/>
    <w:qFormat/>
    <w:uiPriority w:val="99"/>
    <w:pPr>
      <w:spacing w:after="120"/>
    </w:pPr>
  </w:style>
  <w:style w:type="paragraph" w:styleId="4">
    <w:name w:val="toc 2"/>
    <w:basedOn w:val="1"/>
    <w:next w:val="1"/>
    <w:qFormat/>
    <w:uiPriority w:val="39"/>
    <w:pPr>
      <w:widowControl/>
      <w:spacing w:after="100" w:line="259" w:lineRule="auto"/>
      <w:ind w:left="220" w:firstLine="0" w:firstLineChars="0"/>
      <w:jc w:val="left"/>
    </w:pPr>
    <w:rPr>
      <w:rFonts w:ascii="Calibri" w:hAnsi="Calibri" w:eastAsia="宋体" w:cs="Times New Roman"/>
      <w:kern w:val="0"/>
      <w:sz w:val="22"/>
    </w:rPr>
  </w:style>
  <w:style w:type="paragraph" w:styleId="13">
    <w:name w:val="annotation text"/>
    <w:basedOn w:val="1"/>
    <w:link w:val="42"/>
    <w:qFormat/>
    <w:uiPriority w:val="0"/>
    <w:pPr>
      <w:jc w:val="left"/>
    </w:pPr>
  </w:style>
  <w:style w:type="paragraph" w:styleId="14">
    <w:name w:val="Body Text Indent"/>
    <w:basedOn w:val="1"/>
    <w:link w:val="64"/>
    <w:qFormat/>
    <w:uiPriority w:val="0"/>
    <w:pPr>
      <w:ind w:firstLine="0" w:firstLineChars="0"/>
      <w:textAlignment w:val="center"/>
    </w:pPr>
    <w:rPr>
      <w:color w:val="000000"/>
      <w:sz w:val="22"/>
      <w:szCs w:val="22"/>
      <w:u w:val="none"/>
      <w:lang w:bidi="ar"/>
    </w:rPr>
  </w:style>
  <w:style w:type="paragraph" w:styleId="15">
    <w:name w:val="toc 3"/>
    <w:basedOn w:val="1"/>
    <w:next w:val="1"/>
    <w:qFormat/>
    <w:uiPriority w:val="39"/>
    <w:pPr>
      <w:widowControl/>
      <w:spacing w:after="100" w:line="259" w:lineRule="auto"/>
      <w:ind w:left="440" w:firstLine="0" w:firstLineChars="0"/>
      <w:jc w:val="left"/>
    </w:pPr>
    <w:rPr>
      <w:rFonts w:ascii="Calibri" w:hAnsi="Calibri" w:eastAsia="宋体" w:cs="Times New Roman"/>
      <w:kern w:val="0"/>
      <w:sz w:val="22"/>
    </w:rPr>
  </w:style>
  <w:style w:type="paragraph" w:styleId="16">
    <w:name w:val="footer"/>
    <w:basedOn w:val="1"/>
    <w:link w:val="32"/>
    <w:unhideWhenUsed/>
    <w:qFormat/>
    <w:uiPriority w:val="99"/>
    <w:pPr>
      <w:tabs>
        <w:tab w:val="center" w:pos="4153"/>
        <w:tab w:val="right" w:pos="8306"/>
      </w:tabs>
      <w:snapToGrid w:val="0"/>
      <w:jc w:val="left"/>
    </w:pPr>
    <w:rPr>
      <w:sz w:val="18"/>
      <w:szCs w:val="18"/>
    </w:rPr>
  </w:style>
  <w:style w:type="paragraph" w:styleId="17">
    <w:name w:val="header"/>
    <w:basedOn w:val="1"/>
    <w:link w:val="31"/>
    <w:unhideWhenUsed/>
    <w:qFormat/>
    <w:uiPriority w:val="99"/>
    <w:pPr>
      <w:tabs>
        <w:tab w:val="center" w:pos="4153"/>
        <w:tab w:val="right" w:pos="8306"/>
      </w:tabs>
      <w:snapToGrid w:val="0"/>
      <w:jc w:val="center"/>
    </w:pPr>
    <w:rPr>
      <w:sz w:val="18"/>
      <w:szCs w:val="18"/>
    </w:rPr>
  </w:style>
  <w:style w:type="paragraph" w:styleId="18">
    <w:name w:val="toc 1"/>
    <w:basedOn w:val="1"/>
    <w:next w:val="1"/>
    <w:qFormat/>
    <w:uiPriority w:val="39"/>
    <w:pPr>
      <w:widowControl/>
      <w:spacing w:after="100" w:line="259" w:lineRule="auto"/>
      <w:ind w:firstLine="0" w:firstLineChars="0"/>
      <w:jc w:val="left"/>
    </w:pPr>
    <w:rPr>
      <w:rFonts w:ascii="Calibri" w:hAnsi="Calibri" w:eastAsia="宋体" w:cs="Times New Roman"/>
      <w:kern w:val="0"/>
      <w:sz w:val="22"/>
    </w:rPr>
  </w:style>
  <w:style w:type="paragraph" w:styleId="19">
    <w:name w:val="footnote text"/>
    <w:basedOn w:val="1"/>
    <w:link w:val="43"/>
    <w:qFormat/>
    <w:uiPriority w:val="0"/>
    <w:pPr>
      <w:snapToGrid w:val="0"/>
      <w:jc w:val="left"/>
    </w:pPr>
    <w:rPr>
      <w:sz w:val="18"/>
    </w:rPr>
  </w:style>
  <w:style w:type="paragraph" w:styleId="20">
    <w:name w:val="HTML Preformatted"/>
    <w:basedOn w:val="1"/>
    <w:link w:val="44"/>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kern w:val="0"/>
      <w:sz w:val="24"/>
      <w:szCs w:val="24"/>
    </w:rPr>
  </w:style>
  <w:style w:type="paragraph" w:styleId="21">
    <w:name w:val="Normal (Web)"/>
    <w:basedOn w:val="1"/>
    <w:semiHidden/>
    <w:unhideWhenUsed/>
    <w:qFormat/>
    <w:uiPriority w:val="99"/>
    <w:pPr>
      <w:spacing w:beforeAutospacing="1" w:afterAutospacing="1"/>
      <w:jc w:val="left"/>
    </w:pPr>
    <w:rPr>
      <w:rFonts w:cs="Times New Roman"/>
      <w:kern w:val="0"/>
      <w:sz w:val="24"/>
    </w:rPr>
  </w:style>
  <w:style w:type="table" w:styleId="23">
    <w:name w:val="Table Grid"/>
    <w:basedOn w:val="22"/>
    <w:qFormat/>
    <w:uiPriority w:val="59"/>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
    <w:name w:val="Strong"/>
    <w:basedOn w:val="24"/>
    <w:qFormat/>
    <w:uiPriority w:val="0"/>
    <w:rPr>
      <w:b/>
    </w:rPr>
  </w:style>
  <w:style w:type="character" w:styleId="26">
    <w:name w:val="page number"/>
    <w:basedOn w:val="24"/>
    <w:semiHidden/>
    <w:unhideWhenUsed/>
    <w:qFormat/>
    <w:uiPriority w:val="99"/>
  </w:style>
  <w:style w:type="character" w:styleId="27">
    <w:name w:val="FollowedHyperlink"/>
    <w:basedOn w:val="24"/>
    <w:semiHidden/>
    <w:unhideWhenUsed/>
    <w:qFormat/>
    <w:uiPriority w:val="99"/>
    <w:rPr>
      <w:color w:val="954F72" w:themeColor="followedHyperlink"/>
      <w:u w:val="single"/>
      <w14:textFill>
        <w14:solidFill>
          <w14:schemeClr w14:val="folHlink"/>
        </w14:solidFill>
      </w14:textFill>
    </w:rPr>
  </w:style>
  <w:style w:type="character" w:styleId="28">
    <w:name w:val="line number"/>
    <w:basedOn w:val="24"/>
    <w:semiHidden/>
    <w:unhideWhenUsed/>
    <w:qFormat/>
    <w:uiPriority w:val="99"/>
  </w:style>
  <w:style w:type="character" w:styleId="29">
    <w:name w:val="Hyperlink"/>
    <w:basedOn w:val="24"/>
    <w:qFormat/>
    <w:uiPriority w:val="99"/>
    <w:rPr>
      <w:color w:val="0000FF"/>
      <w:u w:val="single"/>
    </w:rPr>
  </w:style>
  <w:style w:type="character" w:customStyle="1" w:styleId="30">
    <w:name w:val="标题 1 字符"/>
    <w:link w:val="3"/>
    <w:qFormat/>
    <w:uiPriority w:val="9"/>
    <w:rPr>
      <w:rFonts w:ascii="黑体" w:hAnsi="黑体" w:eastAsia="黑体" w:cs="黑体"/>
      <w:snapToGrid w:val="0"/>
      <w:color w:val="000000" w:themeColor="text1"/>
      <w:spacing w:val="6"/>
      <w:kern w:val="2"/>
      <w:sz w:val="32"/>
      <w:szCs w:val="32"/>
      <w:lang w:val="en-US" w:eastAsia="zh-CN" w:bidi="ar-SA"/>
      <w14:textFill>
        <w14:solidFill>
          <w14:schemeClr w14:val="tx1"/>
        </w14:solidFill>
      </w14:textFill>
    </w:rPr>
  </w:style>
  <w:style w:type="character" w:customStyle="1" w:styleId="31">
    <w:name w:val="页眉 字符"/>
    <w:basedOn w:val="24"/>
    <w:link w:val="17"/>
    <w:qFormat/>
    <w:uiPriority w:val="99"/>
    <w:rPr>
      <w:sz w:val="18"/>
      <w:szCs w:val="18"/>
    </w:rPr>
  </w:style>
  <w:style w:type="character" w:customStyle="1" w:styleId="32">
    <w:name w:val="页脚 字符"/>
    <w:basedOn w:val="24"/>
    <w:link w:val="16"/>
    <w:qFormat/>
    <w:uiPriority w:val="99"/>
    <w:rPr>
      <w:sz w:val="18"/>
      <w:szCs w:val="18"/>
    </w:rPr>
  </w:style>
  <w:style w:type="character" w:customStyle="1" w:styleId="33">
    <w:name w:val="标题 2 字符"/>
    <w:link w:val="5"/>
    <w:qFormat/>
    <w:uiPriority w:val="9"/>
    <w:rPr>
      <w:rFonts w:ascii="黑体" w:hAnsi="黑体" w:eastAsia="黑体" w:cs="黑体"/>
      <w:snapToGrid w:val="0"/>
      <w:color w:val="000000" w:themeColor="text1"/>
      <w:spacing w:val="6"/>
      <w:kern w:val="0"/>
      <w:sz w:val="28"/>
      <w:szCs w:val="28"/>
      <w:lang w:val="en-US" w:eastAsia="zh-CN" w:bidi="ar-SA"/>
      <w14:textFill>
        <w14:solidFill>
          <w14:schemeClr w14:val="tx1"/>
        </w14:solidFill>
      </w14:textFill>
    </w:rPr>
  </w:style>
  <w:style w:type="character" w:customStyle="1" w:styleId="34">
    <w:name w:val="标题 3 字符"/>
    <w:link w:val="6"/>
    <w:qFormat/>
    <w:uiPriority w:val="0"/>
    <w:rPr>
      <w:rFonts w:ascii="黑体" w:hAnsi="黑体" w:eastAsia="黑体" w:cs="黑体"/>
      <w:snapToGrid w:val="0"/>
      <w:color w:val="000000" w:themeColor="text1"/>
      <w:spacing w:val="6"/>
      <w:kern w:val="0"/>
      <w:sz w:val="24"/>
      <w:szCs w:val="24"/>
      <w:lang w:val="en-US" w:eastAsia="zh-CN" w:bidi="ar-SA"/>
      <w14:textFill>
        <w14:solidFill>
          <w14:schemeClr w14:val="tx1"/>
        </w14:solidFill>
      </w14:textFill>
    </w:rPr>
  </w:style>
  <w:style w:type="character" w:customStyle="1" w:styleId="35">
    <w:name w:val="标题 4 字符"/>
    <w:basedOn w:val="24"/>
    <w:link w:val="7"/>
    <w:qFormat/>
    <w:uiPriority w:val="0"/>
    <w:rPr>
      <w:rFonts w:ascii="Times New Roman" w:hAnsi="Times New Roman" w:eastAsia="宋体" w:cs="宋体"/>
      <w:b/>
      <w:sz w:val="28"/>
    </w:rPr>
  </w:style>
  <w:style w:type="character" w:customStyle="1" w:styleId="36">
    <w:name w:val="标题 5 字符"/>
    <w:basedOn w:val="24"/>
    <w:link w:val="8"/>
    <w:qFormat/>
    <w:uiPriority w:val="0"/>
    <w:rPr>
      <w:rFonts w:ascii="Times New Roman" w:hAnsi="Times New Roman" w:eastAsia="方正仿宋_GBK" w:cs="宋体"/>
      <w:b/>
      <w:sz w:val="28"/>
    </w:rPr>
  </w:style>
  <w:style w:type="character" w:customStyle="1" w:styleId="37">
    <w:name w:val="标题 6 字符"/>
    <w:basedOn w:val="24"/>
    <w:link w:val="9"/>
    <w:qFormat/>
    <w:uiPriority w:val="0"/>
    <w:rPr>
      <w:rFonts w:ascii="Arial" w:hAnsi="Arial" w:eastAsia="黑体" w:cs="宋体"/>
      <w:b/>
      <w:sz w:val="24"/>
    </w:rPr>
  </w:style>
  <w:style w:type="character" w:customStyle="1" w:styleId="38">
    <w:name w:val="标题 7 字符"/>
    <w:basedOn w:val="24"/>
    <w:link w:val="10"/>
    <w:qFormat/>
    <w:uiPriority w:val="0"/>
    <w:rPr>
      <w:rFonts w:ascii="Times New Roman" w:hAnsi="Times New Roman" w:eastAsia="方正仿宋_GBK" w:cs="宋体"/>
      <w:b/>
      <w:sz w:val="24"/>
    </w:rPr>
  </w:style>
  <w:style w:type="character" w:customStyle="1" w:styleId="39">
    <w:name w:val="标题 8 字符"/>
    <w:basedOn w:val="24"/>
    <w:link w:val="11"/>
    <w:qFormat/>
    <w:uiPriority w:val="0"/>
    <w:rPr>
      <w:rFonts w:ascii="Arial" w:hAnsi="Arial" w:eastAsia="黑体" w:cs="宋体"/>
      <w:sz w:val="24"/>
    </w:rPr>
  </w:style>
  <w:style w:type="character" w:customStyle="1" w:styleId="40">
    <w:name w:val="标题 9 字符"/>
    <w:basedOn w:val="24"/>
    <w:link w:val="12"/>
    <w:qFormat/>
    <w:uiPriority w:val="0"/>
    <w:rPr>
      <w:rFonts w:ascii="Arial" w:hAnsi="Arial" w:eastAsia="黑体" w:cs="宋体"/>
    </w:rPr>
  </w:style>
  <w:style w:type="character" w:customStyle="1" w:styleId="41">
    <w:name w:val="正文文本 字符"/>
    <w:basedOn w:val="24"/>
    <w:link w:val="2"/>
    <w:qFormat/>
    <w:uiPriority w:val="99"/>
    <w:rPr>
      <w:rFonts w:ascii="Times New Roman" w:hAnsi="Times New Roman" w:eastAsia="方正仿宋_GBK" w:cs="宋体"/>
      <w:sz w:val="32"/>
    </w:rPr>
  </w:style>
  <w:style w:type="character" w:customStyle="1" w:styleId="42">
    <w:name w:val="批注文字 字符"/>
    <w:basedOn w:val="24"/>
    <w:link w:val="13"/>
    <w:qFormat/>
    <w:uiPriority w:val="0"/>
    <w:rPr>
      <w:rFonts w:ascii="Times New Roman" w:hAnsi="Times New Roman" w:eastAsia="方正仿宋_GBK" w:cs="宋体"/>
      <w:sz w:val="32"/>
    </w:rPr>
  </w:style>
  <w:style w:type="character" w:customStyle="1" w:styleId="43">
    <w:name w:val="脚注文本 字符"/>
    <w:basedOn w:val="24"/>
    <w:link w:val="19"/>
    <w:qFormat/>
    <w:uiPriority w:val="0"/>
    <w:rPr>
      <w:rFonts w:ascii="Times New Roman" w:hAnsi="Times New Roman" w:eastAsia="方正仿宋_GBK" w:cs="宋体"/>
      <w:sz w:val="18"/>
    </w:rPr>
  </w:style>
  <w:style w:type="character" w:customStyle="1" w:styleId="44">
    <w:name w:val="HTML 预设格式 字符"/>
    <w:basedOn w:val="24"/>
    <w:link w:val="20"/>
    <w:qFormat/>
    <w:uiPriority w:val="0"/>
    <w:rPr>
      <w:rFonts w:ascii="宋体" w:hAnsi="宋体" w:eastAsia="宋体" w:cs="宋体"/>
      <w:kern w:val="0"/>
      <w:sz w:val="24"/>
      <w:szCs w:val="24"/>
    </w:rPr>
  </w:style>
  <w:style w:type="paragraph" w:customStyle="1" w:styleId="45">
    <w:name w:val="图标备注"/>
    <w:basedOn w:val="1"/>
    <w:qFormat/>
    <w:uiPriority w:val="0"/>
    <w:pPr>
      <w:spacing w:line="240" w:lineRule="auto"/>
      <w:ind w:firstLine="0" w:firstLineChars="0"/>
    </w:pPr>
    <w:rPr>
      <w:rFonts w:eastAsia="仿宋"/>
    </w:rPr>
  </w:style>
  <w:style w:type="paragraph" w:customStyle="1" w:styleId="46">
    <w:name w:val="表格标题"/>
    <w:basedOn w:val="1"/>
    <w:qFormat/>
    <w:uiPriority w:val="0"/>
    <w:pPr>
      <w:numPr>
        <w:ilvl w:val="0"/>
        <w:numId w:val="2"/>
      </w:numPr>
      <w:spacing w:line="240" w:lineRule="auto"/>
      <w:ind w:firstLineChars="0"/>
      <w:jc w:val="center"/>
    </w:pPr>
    <w:rPr>
      <w:b/>
    </w:rPr>
  </w:style>
  <w:style w:type="paragraph" w:customStyle="1" w:styleId="47">
    <w:name w:val="图标题"/>
    <w:basedOn w:val="1"/>
    <w:qFormat/>
    <w:uiPriority w:val="0"/>
    <w:pPr>
      <w:numPr>
        <w:ilvl w:val="0"/>
        <w:numId w:val="3"/>
      </w:numPr>
      <w:spacing w:line="240" w:lineRule="auto"/>
      <w:ind w:firstLine="0" w:firstLineChars="0"/>
      <w:jc w:val="center"/>
    </w:pPr>
    <w:rPr>
      <w:b/>
    </w:rPr>
  </w:style>
  <w:style w:type="paragraph" w:customStyle="1" w:styleId="48">
    <w:name w:val="表内格式"/>
    <w:basedOn w:val="1"/>
    <w:qFormat/>
    <w:uiPriority w:val="0"/>
    <w:pPr>
      <w:spacing w:line="240" w:lineRule="auto"/>
      <w:ind w:firstLine="0" w:firstLineChars="0"/>
    </w:pPr>
    <w:rPr>
      <w:sz w:val="24"/>
    </w:rPr>
  </w:style>
  <w:style w:type="paragraph" w:customStyle="1" w:styleId="49">
    <w:name w:val="大标题"/>
    <w:basedOn w:val="1"/>
    <w:qFormat/>
    <w:uiPriority w:val="0"/>
    <w:pPr>
      <w:ind w:firstLine="0" w:firstLineChars="0"/>
      <w:jc w:val="center"/>
    </w:pPr>
    <w:rPr>
      <w:rFonts w:ascii="Calibri" w:hAnsi="Calibri" w:eastAsia="方正小标宋_GBK" w:cs="Times New Roman"/>
      <w:b/>
      <w:sz w:val="44"/>
    </w:rPr>
  </w:style>
  <w:style w:type="paragraph" w:customStyle="1" w:styleId="50">
    <w:name w:val="图片格式"/>
    <w:basedOn w:val="1"/>
    <w:qFormat/>
    <w:uiPriority w:val="0"/>
    <w:pPr>
      <w:ind w:firstLine="0" w:firstLineChars="0"/>
      <w:jc w:val="center"/>
    </w:pPr>
    <w:rPr>
      <w:b/>
    </w:rPr>
  </w:style>
  <w:style w:type="paragraph" w:customStyle="1" w:styleId="51">
    <w:name w:val="封面副标题"/>
    <w:basedOn w:val="1"/>
    <w:qFormat/>
    <w:uiPriority w:val="0"/>
    <w:pPr>
      <w:ind w:firstLine="5301" w:firstLineChars="1200"/>
      <w:jc w:val="left"/>
    </w:pPr>
    <w:rPr>
      <w:rFonts w:eastAsia="方正小标宋_GBK" w:cs="Times New Roman"/>
      <w:sz w:val="24"/>
    </w:rPr>
  </w:style>
  <w:style w:type="paragraph" w:styleId="52">
    <w:name w:val="List Paragraph"/>
    <w:basedOn w:val="1"/>
    <w:qFormat/>
    <w:uiPriority w:val="99"/>
    <w:pPr>
      <w:ind w:firstLine="420"/>
    </w:pPr>
  </w:style>
  <w:style w:type="paragraph" w:customStyle="1" w:styleId="53">
    <w:name w:val="TOC 标题1"/>
    <w:basedOn w:val="3"/>
    <w:next w:val="1"/>
    <w:qFormat/>
    <w:uiPriority w:val="39"/>
    <w:pPr>
      <w:widowControl/>
      <w:tabs>
        <w:tab w:val="clear" w:pos="9897"/>
      </w:tabs>
      <w:spacing w:before="240" w:line="259" w:lineRule="auto"/>
      <w:outlineLvl w:val="9"/>
    </w:pPr>
    <w:rPr>
      <w:rFonts w:ascii="Calibri Light" w:hAnsi="Calibri Light" w:eastAsia="宋体"/>
      <w:color w:val="2E75B6"/>
      <w:kern w:val="0"/>
      <w:szCs w:val="32"/>
    </w:rPr>
  </w:style>
  <w:style w:type="character" w:customStyle="1" w:styleId="54">
    <w:name w:val="未处理的提及1"/>
    <w:basedOn w:val="24"/>
    <w:qFormat/>
    <w:uiPriority w:val="99"/>
    <w:rPr>
      <w:color w:val="605E5C"/>
      <w:shd w:val="clear" w:color="auto" w:fill="E1DFDD"/>
    </w:rPr>
  </w:style>
  <w:style w:type="table" w:customStyle="1" w:styleId="55">
    <w:name w:val="Table Normal"/>
    <w:qFormat/>
    <w:uiPriority w:val="0"/>
    <w:rPr>
      <w:rFonts w:eastAsia="宋体"/>
    </w:rPr>
    <w:tblPr>
      <w:tblCellMar>
        <w:top w:w="0" w:type="dxa"/>
        <w:left w:w="0" w:type="dxa"/>
        <w:bottom w:w="0" w:type="dxa"/>
        <w:right w:w="0" w:type="dxa"/>
      </w:tblCellMar>
    </w:tblPr>
  </w:style>
  <w:style w:type="paragraph" w:customStyle="1" w:styleId="56">
    <w:name w:val="Table Text"/>
    <w:basedOn w:val="1"/>
    <w:qFormat/>
    <w:uiPriority w:val="0"/>
    <w:rPr>
      <w:rFonts w:ascii="宋体" w:hAnsi="宋体" w:eastAsia="宋体"/>
      <w:sz w:val="21"/>
      <w:szCs w:val="21"/>
      <w:lang w:eastAsia="en-US"/>
    </w:rPr>
  </w:style>
  <w:style w:type="paragraph" w:customStyle="1" w:styleId="57">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58">
    <w:name w:val="二级无"/>
    <w:qFormat/>
    <w:uiPriority w:val="0"/>
    <w:pPr>
      <w:numPr>
        <w:ilvl w:val="2"/>
        <w:numId w:val="4"/>
      </w:numPr>
      <w:outlineLvl w:val="3"/>
    </w:pPr>
    <w:rPr>
      <w:rFonts w:ascii="宋体" w:hAnsi="Times New Roman" w:eastAsia="宋体" w:cs="Times New Roman"/>
      <w:sz w:val="21"/>
      <w:szCs w:val="21"/>
      <w:lang w:val="en-US" w:eastAsia="zh-CN" w:bidi="ar-SA"/>
    </w:rPr>
  </w:style>
  <w:style w:type="character" w:customStyle="1" w:styleId="59">
    <w:name w:val="font21"/>
    <w:basedOn w:val="24"/>
    <w:qFormat/>
    <w:uiPriority w:val="0"/>
    <w:rPr>
      <w:rFonts w:hint="eastAsia" w:ascii="方正仿宋_GBK" w:hAnsi="方正仿宋_GBK" w:eastAsia="方正仿宋_GBK" w:cs="方正仿宋_GBK"/>
      <w:b/>
      <w:bCs/>
      <w:color w:val="000000"/>
      <w:sz w:val="21"/>
      <w:szCs w:val="21"/>
      <w:u w:val="none"/>
    </w:rPr>
  </w:style>
  <w:style w:type="character" w:customStyle="1" w:styleId="60">
    <w:name w:val="font51"/>
    <w:basedOn w:val="24"/>
    <w:qFormat/>
    <w:uiPriority w:val="0"/>
    <w:rPr>
      <w:rFonts w:hint="eastAsia" w:ascii="方正仿宋_GBK" w:hAnsi="方正仿宋_GBK" w:eastAsia="方正仿宋_GBK" w:cs="方正仿宋_GBK"/>
      <w:color w:val="000000"/>
      <w:sz w:val="20"/>
      <w:szCs w:val="20"/>
      <w:u w:val="none"/>
      <w:vertAlign w:val="subscript"/>
    </w:rPr>
  </w:style>
  <w:style w:type="character" w:customStyle="1" w:styleId="61">
    <w:name w:val="font41"/>
    <w:basedOn w:val="24"/>
    <w:qFormat/>
    <w:uiPriority w:val="0"/>
    <w:rPr>
      <w:rFonts w:hint="eastAsia" w:ascii="方正仿宋_GBK" w:hAnsi="方正仿宋_GBK" w:eastAsia="方正仿宋_GBK" w:cs="方正仿宋_GBK"/>
      <w:color w:val="000000"/>
      <w:sz w:val="20"/>
      <w:szCs w:val="20"/>
      <w:u w:val="none"/>
    </w:rPr>
  </w:style>
  <w:style w:type="character" w:customStyle="1" w:styleId="62">
    <w:name w:val="font61"/>
    <w:basedOn w:val="24"/>
    <w:qFormat/>
    <w:uiPriority w:val="0"/>
    <w:rPr>
      <w:rFonts w:hint="eastAsia" w:ascii="方正仿宋_GBK" w:hAnsi="方正仿宋_GBK" w:eastAsia="方正仿宋_GBK" w:cs="方正仿宋_GBK"/>
      <w:color w:val="000000"/>
      <w:sz w:val="20"/>
      <w:szCs w:val="20"/>
      <w:u w:val="none"/>
    </w:rPr>
  </w:style>
  <w:style w:type="character" w:customStyle="1" w:styleId="63">
    <w:name w:val="font71"/>
    <w:basedOn w:val="24"/>
    <w:qFormat/>
    <w:uiPriority w:val="0"/>
    <w:rPr>
      <w:rFonts w:hint="eastAsia" w:ascii="方正仿宋_GBK" w:hAnsi="方正仿宋_GBK" w:eastAsia="方正仿宋_GBK" w:cs="方正仿宋_GBK"/>
      <w:color w:val="000000"/>
      <w:sz w:val="20"/>
      <w:szCs w:val="20"/>
      <w:u w:val="none"/>
      <w:vertAlign w:val="subscript"/>
    </w:rPr>
  </w:style>
  <w:style w:type="character" w:customStyle="1" w:styleId="64">
    <w:name w:val="正文文本缩进 Char"/>
    <w:link w:val="14"/>
    <w:qFormat/>
    <w:uiPriority w:val="0"/>
    <w:rPr>
      <w:color w:val="000000"/>
      <w:sz w:val="22"/>
      <w:szCs w:val="22"/>
      <w:u w:val="none"/>
      <w:lang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4.png"/><Relationship Id="rId27" Type="http://schemas.openxmlformats.org/officeDocument/2006/relationships/image" Target="media/image3.png"/><Relationship Id="rId26" Type="http://schemas.openxmlformats.org/officeDocument/2006/relationships/image" Target="media/image2.png"/><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18974</Words>
  <Characters>20970</Characters>
  <Lines>220</Lines>
  <Paragraphs>62</Paragraphs>
  <TotalTime>5</TotalTime>
  <ScaleCrop>false</ScaleCrop>
  <LinksUpToDate>false</LinksUpToDate>
  <CharactersWithSpaces>21242</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2024-07-30T05:23:00Z</dcterms:created>
  <dc:creator>jacob stark</dc:creator>
  <cp:lastModifiedBy>OO</cp:lastModifiedBy>
  <cp:lastPrinted>2024-08-02T00:37:00Z</cp:lastPrinted>
  <dcterms:modified xsi:type="dcterms:W3CDTF">2026-09-01T02:13:30Z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5E1770781ADB4616BDA91BD1E78FB6A8_13</vt:lpwstr>
  </property>
  <property fmtid="{D5CDD505-2E9C-101B-9397-08002B2CF9AE}" pid="4" name="KSOTemplateDocerSaveRecord">
    <vt:lpwstr>eyJoZGlkIjoiMzc1MTBkYzA1NTVjNTNlMjEzMDBhNmZkZWEzMWMwOTkiLCJ1c2VySWQiOiI3NTU2NDE0NDIifQ==</vt:lpwstr>
  </property>
</Properties>
</file>