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关于新增及调整我行部分服务收费价目标准的公告</w:t>
      </w:r>
    </w:p>
    <w:p>
      <w:pPr>
        <w:spacing w:line="560" w:lineRule="exact"/>
        <w:ind w:firstLine="636" w:firstLineChars="200"/>
        <w:rPr>
          <w:rFonts w:ascii="仿宋_GB2312" w:hAnsi="微软雅黑" w:eastAsia="仿宋_GB2312" w:cs="宋体"/>
          <w:spacing w:val="-1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1"/>
          <w:kern w:val="0"/>
          <w:sz w:val="32"/>
          <w:szCs w:val="32"/>
        </w:rPr>
        <w:t xml:space="preserve">                                      </w:t>
      </w:r>
    </w:p>
    <w:p>
      <w:pPr>
        <w:spacing w:line="560" w:lineRule="exact"/>
        <w:ind w:firstLine="640" w:firstLineChars="200"/>
        <w:outlineLvl w:val="0"/>
        <w:rPr>
          <w:rFonts w:ascii="仿宋_GB2312" w:hAnsi="微软雅黑" w:eastAsia="仿宋_GB2312" w:cs="宋体"/>
          <w:spacing w:val="-1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尊敬的客户</w:t>
      </w:r>
      <w:r>
        <w:rPr>
          <w:rFonts w:hint="eastAsia" w:ascii="仿宋_GB2312" w:hAnsi="微软雅黑" w:eastAsia="仿宋_GB2312" w:cs="宋体"/>
          <w:spacing w:val="-1"/>
          <w:kern w:val="0"/>
          <w:sz w:val="32"/>
          <w:szCs w:val="32"/>
        </w:rPr>
        <w:t>：</w:t>
      </w:r>
    </w:p>
    <w:p>
      <w:pPr>
        <w:spacing w:line="560" w:lineRule="exact"/>
        <w:ind w:firstLine="636" w:firstLineChars="200"/>
        <w:outlineLvl w:val="0"/>
        <w:rPr>
          <w:rFonts w:ascii="仿宋_GB2312" w:hAnsi="微软雅黑" w:eastAsia="仿宋_GB2312" w:cs="宋体"/>
          <w:spacing w:val="-1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1"/>
          <w:kern w:val="0"/>
          <w:sz w:val="32"/>
          <w:szCs w:val="32"/>
        </w:rPr>
        <w:t>自2023年6月1日起我行将新增及调整部分服务收费价目，具体情况请见下表：</w:t>
      </w:r>
    </w:p>
    <w:p>
      <w:pPr>
        <w:spacing w:line="560" w:lineRule="exact"/>
        <w:ind w:firstLine="639" w:firstLineChars="200"/>
        <w:outlineLvl w:val="0"/>
        <w:rPr>
          <w:rFonts w:ascii="仿宋_GB2312" w:hAnsi="微软雅黑" w:eastAsia="仿宋_GB2312" w:cs="宋体"/>
          <w:b/>
          <w:bCs/>
          <w:spacing w:val="-1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spacing w:val="-1"/>
          <w:kern w:val="0"/>
          <w:sz w:val="32"/>
          <w:szCs w:val="32"/>
        </w:rPr>
        <w:t>（一）新增的服务收费价目</w:t>
      </w:r>
    </w:p>
    <w:tbl>
      <w:tblPr>
        <w:tblStyle w:val="6"/>
        <w:tblW w:w="14742" w:type="dxa"/>
        <w:tblInd w:w="-5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1760"/>
        <w:gridCol w:w="1852"/>
        <w:gridCol w:w="1104"/>
        <w:gridCol w:w="2903"/>
        <w:gridCol w:w="2872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7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服务价格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适用客户</w:t>
            </w:r>
          </w:p>
        </w:tc>
        <w:tc>
          <w:tcPr>
            <w:tcW w:w="290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服务内容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优惠政策</w:t>
            </w:r>
          </w:p>
        </w:tc>
        <w:tc>
          <w:tcPr>
            <w:tcW w:w="2378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spacing w:val="-1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7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SC5011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银行承兑汇票敞口风险管理费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银行承兑汇票敞口金额的0-2%，与客户协议确定。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290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向客户提供银行承兑汇票敞口服务。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>对符合《关于印发中小企业划型标准规定的通知》（工信部联企业〔2011〕300号）规定的小型和微型企业免收。</w:t>
            </w:r>
            <w:r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78" w:type="dxa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b w:val="0"/>
                <w:bCs w:val="0"/>
                <w:spacing w:val="-1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39" w:firstLineChars="200"/>
        <w:outlineLvl w:val="0"/>
        <w:rPr>
          <w:rFonts w:hint="eastAsia" w:ascii="仿宋_GB2312" w:hAnsi="微软雅黑" w:eastAsia="仿宋_GB2312" w:cs="宋体"/>
          <w:b/>
          <w:bCs/>
          <w:spacing w:val="-1"/>
          <w:kern w:val="0"/>
          <w:sz w:val="32"/>
          <w:szCs w:val="32"/>
        </w:rPr>
      </w:pPr>
    </w:p>
    <w:p>
      <w:pPr>
        <w:spacing w:line="560" w:lineRule="exact"/>
        <w:ind w:firstLine="639" w:firstLineChars="200"/>
        <w:outlineLvl w:val="0"/>
        <w:rPr>
          <w:rFonts w:ascii="仿宋_GB2312" w:hAnsi="微软雅黑" w:eastAsia="仿宋_GB2312" w:cs="宋体"/>
          <w:b/>
          <w:bCs/>
          <w:spacing w:val="-1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spacing w:val="-1"/>
          <w:kern w:val="0"/>
          <w:sz w:val="32"/>
          <w:szCs w:val="32"/>
        </w:rPr>
        <w:t>（二）调整的服务收费价目</w:t>
      </w:r>
    </w:p>
    <w:tbl>
      <w:tblPr>
        <w:tblStyle w:val="6"/>
        <w:tblW w:w="14742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992"/>
        <w:gridCol w:w="1134"/>
        <w:gridCol w:w="2268"/>
        <w:gridCol w:w="1984"/>
        <w:gridCol w:w="709"/>
        <w:gridCol w:w="851"/>
        <w:gridCol w:w="850"/>
        <w:gridCol w:w="3402"/>
        <w:gridCol w:w="9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序号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调整前服务价格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调整后服务价格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适用客户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上浮幅度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下浮幅度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服务内容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spacing w:val="-1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SC8002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汇出境外汇款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汇款修改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CNY150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所有客户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应客户要求，修改汇出汇款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修改时收取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退汇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CNY150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所有客户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因汇入款或汇出款信息有误等原因，或根据汇款人要求，按路径退汇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退回时收取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汇入汇款退回（未解付）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CNY150元/笔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所有客户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根据申请人申请，安排退回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退回时收取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SC8005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进口跟单信用证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开证金额的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1.5‰/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，最低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CNY200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，电报费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CNY200/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笔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1、开证期限为90天（含）以内（从开证日到信用证失效日计算）以及付款期限为90天（含）以内的，按1.5‰收取，最低CNY300元。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2、开证期限或付款期限超过90天的，每延长30天加收信用证金额的0.2‰（不足30天的按30天收取），最低CNY300元。收取全额保证金的可不加收，对于超长期限的信用证可单独议价。电报费CNY200元。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0-300%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0-80%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应申请人要求，向受益人开立信用证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承兑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到单金额的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1‰/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，最低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USD20.00/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，最高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USD100.00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（向收益人收取）</w:t>
            </w:r>
            <w:r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交易金额的1‰/季，最低USD20（如果向受益人收取，在付款时按1‰内扣,最低USD20,最高USD100）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远期信用证项下承兑远期汇票，或承诺于到期日履行付款责任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付汇收取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SC8007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国内信用证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开证行承兑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开证行承兑金额的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0.5‰/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笔，最低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CNY150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到单金额0.5‰/季，最低CNY150元/笔。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远期信用证项下承兑远期汇票，或承诺于到期日履行付款责任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付汇收取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审单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单据金额的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1‰/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笔，最低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CNY100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单据金额的1‰-2‰，最低CNY100元。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根据信用证的具体要求，对受益人提交的单据本身、单据之间、单据与信用证之间是否相符进行审核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出单时收取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SC8008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转让信用证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不改变条款转让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CNY300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笔，电报费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CNY200.00/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不改变条款转让：开证金额的1.25‰，最低CNY200元/笔，最高CNY1000元/笔，电报费CNY200元。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应第一受益人的的要求，将信用证转让给第二受益人使用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开证时收取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改变条款转让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开证金额的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1.25‰,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最低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CNY500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笔，电报费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CNY200.00/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改变条款转让：开证金额的1.25‰,最低500元/笔，最高CNY1000元/笔，电报费CNY200元。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应第一受益人的的要求，将信用证转让给第二受益人使用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对外担保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借款保函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备用信用证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申请金额的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2.0‰/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季，最低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CNY500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季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,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按季收取,不足3个月按3个月计收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申请金额的2‰-8‰/季，最低CNY1000元/季,按季收取,融资性保函根据风险程度在区间内确认费率，收取方式以协议约定为准不足一个季度的部分按一季度计收。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0-300%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为客户提供融资（借款）用途的保证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SC8010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贸易融资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国内证信用证福费廷手续费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最高申请金额的2</w:t>
            </w: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.0%/</w:t>
            </w: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1、代理福费廷手续费：不超过融资金额的3%。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2、自营福费廷手续费：不超过融资金额的3%。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提供债权买断、应收账款催收与管理、报文处理、交易服务（包括但不限于提供转卖渠道等）、安排额度等服务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其他贸易融资（包括不限于订单融资、发票融资、进口代付、风险参与等）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0"/>
                <w:szCs w:val="20"/>
              </w:rPr>
              <w:t xml:space="preserve">申请金额的0.2%-2.0%/年，可一次性收取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申请金额的0.2%-3.0%/年，可一次性收取。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公司客户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具体详见贸易融资服务协议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SC8011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其他电传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/SWIFT</w:t>
            </w: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费用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USD17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电报费CNY150元/笔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kern w:val="0"/>
                <w:sz w:val="20"/>
                <w:szCs w:val="20"/>
              </w:rPr>
              <w:t>所有客户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0-100%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0-50%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特此公告。</w:t>
      </w:r>
    </w:p>
    <w:p>
      <w:pPr>
        <w:widowControl/>
        <w:spacing w:line="560" w:lineRule="exact"/>
        <w:jc w:val="right"/>
        <w:outlineLvl w:val="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江苏紫金农村商业银行股份有限公司</w:t>
      </w:r>
    </w:p>
    <w:p>
      <w:pPr>
        <w:widowControl/>
        <w:wordWrap w:val="0"/>
        <w:spacing w:line="560" w:lineRule="exact"/>
        <w:jc w:val="right"/>
        <w:outlineLvl w:val="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2023年2月20日        </w:t>
      </w:r>
    </w:p>
    <w:sectPr>
      <w:pgSz w:w="16838" w:h="11906" w:orient="landscape"/>
      <w:pgMar w:top="1531" w:right="2098" w:bottom="153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5A1"/>
    <w:rsid w:val="0004541C"/>
    <w:rsid w:val="00080B33"/>
    <w:rsid w:val="000B09CB"/>
    <w:rsid w:val="000E313E"/>
    <w:rsid w:val="001D277F"/>
    <w:rsid w:val="00232E27"/>
    <w:rsid w:val="00296399"/>
    <w:rsid w:val="002E37A0"/>
    <w:rsid w:val="003448A7"/>
    <w:rsid w:val="00376D15"/>
    <w:rsid w:val="003E7722"/>
    <w:rsid w:val="0040489E"/>
    <w:rsid w:val="00423F42"/>
    <w:rsid w:val="00453885"/>
    <w:rsid w:val="004706EC"/>
    <w:rsid w:val="004F0E66"/>
    <w:rsid w:val="0055025F"/>
    <w:rsid w:val="006A0D9A"/>
    <w:rsid w:val="006C0C7B"/>
    <w:rsid w:val="006E1040"/>
    <w:rsid w:val="006E72AC"/>
    <w:rsid w:val="00830AF8"/>
    <w:rsid w:val="00886561"/>
    <w:rsid w:val="009D4953"/>
    <w:rsid w:val="00C572D5"/>
    <w:rsid w:val="00C97F58"/>
    <w:rsid w:val="00D555A1"/>
    <w:rsid w:val="00E91197"/>
    <w:rsid w:val="00EC4A62"/>
    <w:rsid w:val="00F24FEF"/>
    <w:rsid w:val="00F355F5"/>
    <w:rsid w:val="00F40B11"/>
    <w:rsid w:val="00FC19E8"/>
    <w:rsid w:val="27F16D61"/>
    <w:rsid w:val="4427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318</Words>
  <Characters>1819</Characters>
  <Lines>15</Lines>
  <Paragraphs>4</Paragraphs>
  <TotalTime>10</TotalTime>
  <ScaleCrop>false</ScaleCrop>
  <LinksUpToDate>false</LinksUpToDate>
  <CharactersWithSpaces>2133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2023-02-14T06:15:00Z</dcterms:created>
  <dc:creator>user</dc:creator>
  <cp:lastModifiedBy>Administrator</cp:lastModifiedBy>
  <dcterms:modified xsi:type="dcterms:W3CDTF">2023-02-21T08:46:34Z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